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6"/>
        </w:rPr>
      </w:pPr>
      <w:r>
        <w:rPr>
          <w:b/>
          <w:sz w:val="26"/>
          <w:szCs w:val="26"/>
        </w:rPr>
        <w:t xml:space="preserve">II. </w:t>
      </w:r>
      <w:r>
        <w:rPr>
          <w:b/>
          <w:color w:val="000000"/>
          <w:sz w:val="26"/>
        </w:rPr>
        <w:t xml:space="preserve">Пояснительная записка</w:t>
      </w:r>
      <w:r/>
    </w:p>
    <w:p>
      <w:pPr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к показателям оценки эффективности деятельности органов</w:t>
      </w:r>
      <w:r/>
    </w:p>
    <w:p>
      <w:pPr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местного самоуправления муниципального образования « Усть-Коксинский район район» за 2023 год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 </w:t>
      </w:r>
      <w:r/>
    </w:p>
    <w:p>
      <w:pPr>
        <w:ind w:firstLine="0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 Усть-Коксинский район образован  в 1924 г. Район расположен 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юго-западной</w:t>
      </w:r>
      <w:r>
        <w:rPr>
          <w:color w:val="000000"/>
          <w:sz w:val="28"/>
        </w:rPr>
        <w:t xml:space="preserve"> части Республики Алтай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горно-степной зоне</w:t>
      </w:r>
      <w:r>
        <w:rPr>
          <w:color w:val="000000"/>
          <w:sz w:val="28"/>
        </w:rPr>
        <w:t xml:space="preserve"> и граничит с районами Республики Алтай: Усть-Канским, Онгудайским, Кош-Агачским. 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Общая площадь района занимает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12958 </w:t>
      </w:r>
      <w:r>
        <w:rPr>
          <w:color w:val="000000"/>
          <w:sz w:val="28"/>
        </w:rPr>
        <w:t xml:space="preserve">кв. км, что составляет </w:t>
      </w:r>
      <w:r>
        <w:rPr>
          <w:color w:val="000000"/>
          <w:sz w:val="28"/>
        </w:rPr>
        <w:t xml:space="preserve">13,9 % от общей площади Республики Алтай.</w:t>
      </w:r>
      <w:r/>
    </w:p>
    <w:p>
      <w:pPr>
        <w:ind w:firstLine="709"/>
        <w:jc w:val="both"/>
        <w:rPr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Численность постоянного населения (на 01.01.2024 г.) по Усть-Коксинскому району </w:t>
      </w:r>
      <w:r>
        <w:rPr>
          <w:sz w:val="28"/>
        </w:rPr>
        <w:t xml:space="preserve">составила</w:t>
      </w:r>
      <w:r>
        <w:rPr>
          <w:sz w:val="28"/>
          <w:u w:val="none"/>
        </w:rPr>
        <w:t xml:space="preserve"> 15 634 человек</w:t>
      </w:r>
      <w:r>
        <w:rPr>
          <w:color w:val="000000"/>
          <w:sz w:val="28"/>
        </w:rPr>
        <w:t xml:space="preserve">, по сравнению с 2022 годом численность уменьшилась на 57 </w:t>
      </w:r>
      <w:r>
        <w:rPr>
          <w:color w:val="000000"/>
          <w:sz w:val="28"/>
          <w:u w:val="none"/>
        </w:rPr>
        <w:t xml:space="preserve">человек</w:t>
      </w:r>
      <w:r>
        <w:rPr>
          <w:color w:val="000000"/>
          <w:sz w:val="28"/>
          <w:u w:val="none"/>
        </w:rPr>
        <w:t xml:space="preserve">.</w:t>
      </w:r>
      <w:r>
        <w:rPr>
          <w:u w:val="none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Административный центр – село Усть-Кокса находится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 расстоянии  420 км от республиканского центра г. Горно-Алтайска</w:t>
      </w:r>
      <w:r>
        <w:rPr>
          <w:color w:val="000000"/>
          <w:sz w:val="28"/>
        </w:rPr>
        <w:t xml:space="preserve">. В состав района всего входят 9 сельских поселений, на территории которых расположено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42 населенных пункта</w:t>
      </w:r>
      <w:r>
        <w:rPr>
          <w:color w:val="000000"/>
          <w:sz w:val="28"/>
        </w:rPr>
        <w:t xml:space="preserve">:</w:t>
      </w:r>
      <w:r/>
    </w:p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102"/>
      </w:tblGrid>
      <w:tr>
        <w:trPr/>
        <w:tc>
          <w:tcPr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  <w:t xml:space="preserve">Наименование сельского поселения, муниципального района</w:t>
            </w:r>
            <w:r/>
          </w:p>
        </w:tc>
        <w:tc>
          <w:tcPr>
            <w:tcBorders>
              <w:top w:val="single" w:color="BFBFBF" w:sz="8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  <w:t xml:space="preserve">Адрес официального сайта сельского поселения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Амурское сельское поселение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9" w:tooltip="https://амурское-адм.рф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https://амурское-адм.рф/</w:t>
              </w:r>
              <w:r>
                <w:rPr>
                  <w:rStyle w:val="904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Верх-Уймонское сельское поселение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://verh-uimon.ru/" w:history="1">
              <w:r>
                <w:rPr>
                  <w:rStyle w:val="904"/>
                  <w:rFonts w:ascii="Times New Roman" w:hAnsi="Times New Roman" w:eastAsia="Times New Roman" w:cs="Times New Roman"/>
                  <w:color w:val="0563c1"/>
                  <w:sz w:val="28"/>
                  <w:u w:val="single"/>
                </w:rPr>
                <w:t xml:space="preserve">http://verh-uimon.ru/</w:t>
              </w:r>
            </w:hyperlink>
            <w:r>
              <w:t xml:space="preserve"> 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Горбуновское сельское поселение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1" w:tooltip="http://spgorbunovo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http://spgorbunovo.ru/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Карагайское сельское поселение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" w:tooltip="https://xn--80aaallxcf0bop.xn--p1ai/" w:history="1">
              <w:r>
                <w:rPr>
                  <w:rStyle w:val="904"/>
                  <w:rFonts w:ascii="Times New Roman" w:hAnsi="Times New Roman" w:eastAsia="Times New Roman" w:cs="Times New Roman"/>
                  <w:color w:val="0000ff"/>
                  <w:sz w:val="28"/>
                  <w:u w:val="single"/>
                </w:rPr>
                <w:t xml:space="preserve">https://xn--80aaallxcf0bop.xn--p1ai/</w:t>
              </w:r>
            </w:hyperlink>
            <w:r/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Катандинское сельское поселение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3" w:tooltip="http://admkatanda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http://admkatanda.ru/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Огневское сельское поселение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4" w:tooltip="http://oghnievka.ru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http://oghnievka.ru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textDirection w:val="lrTb"/>
            <w:noWrap w:val="false"/>
          </w:tcPr>
          <w:p>
            <w:pPr>
              <w:rPr>
                <w:b/>
                <w:color w:val="000000"/>
                <w:sz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Талдинское сельское поселение</w:t>
            </w:r>
            <w:r>
              <w:rPr>
                <w:b/>
                <w:color w:val="000000"/>
                <w:sz w:val="26"/>
              </w:rPr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5" w:tooltip="https://taldinskoe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https://taldinskoe.ru/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vMerge w:val="restart"/>
            <w:textDirection w:val="lrTb"/>
            <w:noWrap w:val="false"/>
          </w:tcPr>
          <w:p>
            <w:pPr>
              <w:rPr>
                <w:b/>
                <w:color w:val="000000"/>
                <w:sz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Усть-Коксинское сельское поселение</w:t>
            </w:r>
            <w:r>
              <w:rPr>
                <w:b/>
                <w:color w:val="000000"/>
                <w:sz w:val="26"/>
              </w:rPr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6" w:tooltip="http://ustkoksa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http://ustkoksa.ru/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vMerge w:val="restart"/>
            <w:textDirection w:val="lrTb"/>
            <w:noWrap w:val="false"/>
          </w:tcPr>
          <w:p>
            <w:pPr>
              <w:rPr>
                <w:b/>
                <w:color w:val="000000"/>
                <w:sz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Чендекское сельское поселение</w:t>
            </w:r>
            <w:r>
              <w:rPr>
                <w:b/>
                <w:color w:val="000000"/>
                <w:sz w:val="26"/>
              </w:rPr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7" w:tooltip="http://admchendek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http://admchendek.ru/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60" w:type="dxa"/>
            <w:vMerge w:val="restart"/>
            <w:textDirection w:val="lrTb"/>
            <w:noWrap w:val="false"/>
          </w:tcPr>
          <w:p>
            <w:pPr>
              <w:rPr>
                <w:b/>
                <w:color w:val="000000"/>
                <w:sz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Усть-Коксинское муниципальное образование</w:t>
            </w:r>
            <w:r>
              <w:rPr>
                <w:b/>
                <w:color w:val="000000"/>
                <w:sz w:val="26"/>
              </w:rPr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hyperlink r:id="rId18" w:tooltip="http://ust-koksa-altay.ru/" w:history="1">
              <w:r>
                <w:rPr>
                  <w:rStyle w:val="904"/>
                  <w:rFonts w:ascii="Times New Roman" w:hAnsi="Times New Roman" w:eastAsia="Times New Roman" w:cs="Times New Roman"/>
                  <w:sz w:val="28"/>
                </w:rPr>
                <w:t xml:space="preserve">http://ust-koksa-altay.ru/</w:t>
              </w:r>
              <w:r>
                <w:rPr>
                  <w:rStyle w:val="904"/>
                </w:rPr>
              </w:r>
            </w:hyperlink>
            <w:r>
              <w:t xml:space="preserve"> </w:t>
            </w:r>
            <w:r/>
          </w:p>
        </w:tc>
      </w:tr>
    </w:tbl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 Доклад Главы муниципального района о достигнутых значениях показателей для оценки эффективности деятельности органов местного самоуправления муниципальных районов в Респуб</w:t>
      </w:r>
      <w:r>
        <w:rPr>
          <w:color w:val="000000"/>
          <w:sz w:val="28"/>
        </w:rPr>
        <w:t xml:space="preserve">лике Алтай за 2023 г. подготовлен на основе статистических данных Алтайкрайстата, ведомственной статистики, сформированной исполнительными органами государственной власти Республики Алтай, а также данных ведомственной статистики муниципального образования.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Итоги оценки эффективности деятельности органов местного самоуправления муниципального района в Республике Алтай определены по 9 разделам: экономическое развитие, дошкольное образование, о</w:t>
      </w:r>
      <w:r>
        <w:rPr>
          <w:color w:val="000000"/>
          <w:sz w:val="28"/>
        </w:rPr>
        <w:t xml:space="preserve">бщее и дополнительное образование, культура, 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Оценка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 образованием, принятия решений и мер по дальнейшему совершенствованию муниципального управления.</w:t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numPr>
          <w:ilvl w:val="0"/>
          <w:numId w:val="2"/>
        </w:num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Экономическое развитие</w:t>
      </w:r>
      <w:r/>
    </w:p>
    <w:p>
      <w:pPr>
        <w:ind w:left="1287"/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</w:r>
      <w:r/>
    </w:p>
    <w:p>
      <w:pPr>
        <w:ind w:firstLine="567"/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П.1 Число субъектов малого и среднего предпринимательства в расчете на 10 тыс. человек населения.</w:t>
      </w:r>
      <w:r/>
    </w:p>
    <w:p>
      <w:pPr>
        <w:ind w:firstLine="709"/>
        <w:jc w:val="both"/>
        <w:rPr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pacing w:val="-4"/>
          <w:sz w:val="26"/>
          <w:szCs w:val="26"/>
        </w:rPr>
        <w:t xml:space="preserve"> </w:t>
      </w:r>
      <w:r>
        <w:rPr>
          <w:color w:val="000000"/>
          <w:sz w:val="28"/>
        </w:rPr>
        <w:t xml:space="preserve">Число субъектов малого и среднего предпринимательства в 2023 г. в расчете на 10 тыс. чел. составляет 337,086 ед., что выше к соответствующему периоду прошлого года на </w:t>
      </w:r>
      <w:r>
        <w:rPr>
          <w:b w:val="0"/>
          <w:bCs w:val="0"/>
          <w:color w:val="000000"/>
          <w:sz w:val="28"/>
          <w:u w:val="none"/>
        </w:rPr>
        <w:t xml:space="preserve"> 4,3%</w:t>
      </w:r>
      <w:r>
        <w:rPr>
          <w:color w:val="000000"/>
          <w:sz w:val="28"/>
        </w:rPr>
        <w:t xml:space="preserve"> (в 2022 г. данный показатель был равен  323,115 ед.). На увеличение числа субъектов малого и среднего предпринимательства в расчете на 10 тыс. чел. повлияло увеличение числа субъектов СМСП (2022 г.- 507 ед., 2023 г.- 527 ед), </w:t>
      </w:r>
      <w:r>
        <w:rPr>
          <w:color w:val="000000"/>
          <w:sz w:val="28"/>
        </w:rPr>
        <w:t xml:space="preserve">так и уменьшение численности жителей района</w:t>
      </w:r>
      <w:r>
        <w:rPr>
          <w:color w:val="00000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на 57  чел</w:t>
      </w:r>
      <w:r>
        <w:rPr>
          <w:color w:val="000000"/>
          <w:sz w:val="28"/>
          <w:u w:val="none"/>
        </w:rPr>
        <w:t xml:space="preserve">овек.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По состоянию на 01.01.2024 г. на территории МО «Усть-Коксинский район» зарегистрировано 107 юридических лиц, в т.ч.:  2 средних, 14 малых и 91 микропредприятие, что ниже уровня аналогичного периода прошлого года </w:t>
      </w:r>
      <w:r>
        <w:rPr>
          <w:color w:val="000000"/>
          <w:sz w:val="28"/>
          <w:u w:val="none"/>
        </w:rPr>
        <w:t xml:space="preserve">на 1 %</w:t>
      </w:r>
      <w:r>
        <w:rPr>
          <w:color w:val="000000"/>
          <w:sz w:val="28"/>
          <w:u w:val="none"/>
        </w:rPr>
        <w:t xml:space="preserve"> </w:t>
      </w:r>
      <w:r>
        <w:rPr>
          <w:color w:val="000000"/>
          <w:sz w:val="28"/>
        </w:rPr>
        <w:t xml:space="preserve">(в 2022 г. – 108 ед.). В основном преобладают предприятия: сельского, лесного хозяйства, охота, рыболовство и рыбоводство, оптовой и розничной торговли, образования.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Количест</w:t>
      </w:r>
      <w:r>
        <w:rPr>
          <w:color w:val="000000"/>
          <w:sz w:val="28"/>
        </w:rPr>
        <w:t xml:space="preserve">во индивидуальных предпринимателей по сравнению с аналогичным периодом прошлого года увеличилось на 21 чел. или на 5,3 % и составляет 420 чел. – по данным Единого реестра субъектов малого и среднего предпринимательства (далее - ЕРМСП) (в 2022 г. </w:t>
      </w:r>
      <w:r>
        <w:rPr>
          <w:color w:val="000000"/>
          <w:sz w:val="28"/>
          <w:u w:val="none"/>
        </w:rPr>
        <w:t xml:space="preserve">– 399 чел.)</w:t>
      </w:r>
      <w:r>
        <w:rPr>
          <w:color w:val="000000"/>
          <w:sz w:val="28"/>
          <w:u w:val="none"/>
        </w:rPr>
        <w:t xml:space="preserve"> 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Число субъектов малого и среднего предпринимательства ниже по данным ЕРМСП, чем по данным Алтайкрайстата по причине того, что в соотве</w:t>
      </w:r>
      <w:r>
        <w:rPr>
          <w:color w:val="000000"/>
          <w:sz w:val="28"/>
        </w:rPr>
        <w:t xml:space="preserve">тствии с федеральным законом от 24.04.2007 г. №209-ФЗ «О развитии малого и среднего предпринимательства в Российской Федерации» ведение ЕРМСП осуществляет ФНС России. Реестр формируется автоматически на основании сведений налоговой отчетности (в том числе </w:t>
      </w:r>
      <w:r>
        <w:rPr>
          <w:color w:val="000000"/>
          <w:sz w:val="28"/>
        </w:rPr>
        <w:t xml:space="preserve">по спецрежимам), которую организация (предприниматель) представляли в налоговые органы за предшествующий календарный год. Хозяйствующим субъектам, которые отсутствуют в ЕРМСП, автоматически присваивается тип предприятия «2»- коммерческая организация, не яв</w:t>
      </w:r>
      <w:r>
        <w:rPr>
          <w:color w:val="000000"/>
          <w:sz w:val="28"/>
        </w:rPr>
        <w:t xml:space="preserve">ляющаяся субъектом малого или среднего предпринимательства. Таким образом, предприятия, которые не предоставили сведения в УФНС по РА по состоянию на 01.01.2024 г., не вошли в ЕРМСП, и автоматически были лишены статуса субъекта малого предпринимательства.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Сотрудниками управления экономического развития и  прогнозирования в течение 2023 г. проводилась работа по выявлению и информированию СМСП, не включенных в ЕРСМСП о необходимости уточнения информации. </w:t>
      </w:r>
      <w:r/>
    </w:p>
    <w:p>
      <w:pPr>
        <w:ind w:firstLine="709"/>
        <w:jc w:val="both"/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районе ведется работа по поддержке малого и среднего предпринимательства.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2023 г. была оказана следующая государственная поддержка предпринимателям Усть-Коксинского района: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Министерство сельского хозяйства РА 71 субсидия - 128,3 млн. руб.;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Министерство экономического развития РА 7 субсидии - 4,2 млн. руб.;</w:t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МКК, НКО «Фонд поддержки малого и среднего предпринимательства Республики Алтай» 22 микрозайма 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- 57 млн.руб.;</w:t>
      </w:r>
      <w:r>
        <w:rPr>
          <w:highlight w:val="yellow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 МКК АМУ Центр поддержки предпринимательства  МО «Усть-Коксинский район»  6  микрозаймов -   3,0 млн.руб.  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2023 г. Администрацией МО «Усть-Коксинский район» 5 субъектам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МСП оказана имущественная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поддержка  и пользование на долгосрочной основе субъектам МСП и «самозанятым» на 2023 г.  значится 31 объект.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Перечень муниципального имущества, предназначенного для предоставления субъектам малого и среднего предпринимательства на постоянной основе, осуществляется внесение новых объектов. Так за 2023 год в реестр добавили 2 объекта недвижимого имущества. 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Поддержка развития малого и среднего предпринимательства, содействие повышению социальной ответстве</w:t>
      </w:r>
      <w:r>
        <w:rPr>
          <w:color w:val="000000"/>
          <w:sz w:val="28"/>
        </w:rPr>
        <w:t xml:space="preserve">нности бизнес</w:t>
      </w:r>
      <w:r>
        <w:rPr>
          <w:color w:val="000000"/>
          <w:sz w:val="28"/>
        </w:rPr>
        <w:t xml:space="preserve">а, укреплению принципа прозрачности в процессе взаимодействия субъектов малого и среднего предпринимательства с органами местного самоуправления остаются одними из главных направлений работы Администрации муниципального образования «Усть-Коксинский район».</w:t>
      </w:r>
      <w:r/>
    </w:p>
    <w:p>
      <w:pPr>
        <w:ind w:firstLine="567"/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</w:r>
      <w:r/>
    </w:p>
    <w:p>
      <w:pPr>
        <w:ind w:firstLine="567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среднесписочной численности работников (без внешн</w:t>
      </w:r>
      <w:r>
        <w:rPr>
          <w:color w:val="000000"/>
          <w:sz w:val="28"/>
        </w:rPr>
        <w:t xml:space="preserve">их совместителей) малых и средних предприятий в среднесписочной численности работников (без внешних совместителей) всех предприятий и организаций на 01.01.2024 г. составила 97,9 %, по сравнению с 01.01.2023 г.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году Управлением Федеральной службы государственной статистики по Алтайскому краю и Республике Алтай проводилось сплошное наблюдение за деятельностью малых предприятий (без учета микропредприятий), средних, крупных и некоммерческих предприятий.</w:t>
      </w:r>
      <w:r/>
    </w:p>
    <w:p>
      <w:pPr>
        <w:ind w:firstLine="709"/>
        <w:jc w:val="both"/>
        <w:rPr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Среднесписочная численность работников малых предприятий (без внешних совместителей) за 2023 г. составила 297 чел. Данный показатель в 2022 г. </w:t>
      </w:r>
      <w:r>
        <w:rPr>
          <w:color w:val="000000"/>
          <w:sz w:val="28"/>
          <w:u w:val="none"/>
        </w:rPr>
        <w:t xml:space="preserve">равен 353 чел.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 xml:space="preserve">Основное снижение наблюдается в следующей отрасли</w:t>
      </w:r>
      <w:r>
        <w:rPr>
          <w:color w:val="000000"/>
          <w:sz w:val="28"/>
          <w:highlight w:val="white"/>
        </w:rPr>
        <w:t xml:space="preserve">: </w:t>
      </w:r>
      <w:r>
        <w:rPr>
          <w:color w:val="000000"/>
          <w:sz w:val="28"/>
          <w:highlight w:val="none"/>
        </w:rPr>
        <w:t xml:space="preserve">деятельность транспортная вспомогательная.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предпринимательства» - в 2023 г. равен  2554 </w:t>
      </w:r>
      <w:r>
        <w:rPr>
          <w:color w:val="000000"/>
          <w:sz w:val="28"/>
          <w:u w:val="none"/>
        </w:rPr>
        <w:t xml:space="preserve">чел</w:t>
      </w:r>
      <w:r>
        <w:rPr>
          <w:color w:val="000000"/>
          <w:sz w:val="28"/>
        </w:rPr>
        <w:t xml:space="preserve">., за 2022 год </w:t>
      </w:r>
      <w:r>
        <w:rPr>
          <w:color w:val="000000"/>
          <w:sz w:val="28"/>
          <w:u w:val="none"/>
        </w:rPr>
        <w:t xml:space="preserve">– 2609 чел.,</w:t>
      </w:r>
      <w:r>
        <w:rPr>
          <w:color w:val="000000"/>
          <w:sz w:val="28"/>
        </w:rPr>
        <w:t xml:space="preserve"> и показатель «среднесписочная численность работников (без внешних совместителей) средних предприятий» - в 2023 г. равен</w:t>
      </w:r>
      <w:r>
        <w:rPr>
          <w:color w:val="000000"/>
          <w:sz w:val="28"/>
          <w:u w:val="none"/>
        </w:rPr>
        <w:t xml:space="preserve"> 341 </w:t>
      </w:r>
      <w:r>
        <w:rPr>
          <w:color w:val="000000"/>
          <w:sz w:val="28"/>
        </w:rPr>
        <w:t xml:space="preserve">чел., за 2022 г. </w:t>
      </w:r>
      <w:r>
        <w:rPr>
          <w:color w:val="000000"/>
          <w:sz w:val="28"/>
          <w:u w:val="none"/>
        </w:rPr>
        <w:t xml:space="preserve">– 339 чел</w:t>
      </w:r>
      <w:r>
        <w:rPr>
          <w:color w:val="000000"/>
          <w:sz w:val="28"/>
        </w:rPr>
        <w:t xml:space="preserve">.</w:t>
      </w:r>
      <w:r/>
    </w:p>
    <w:p>
      <w:pPr>
        <w:ind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Оборот малых предприятий (без микропредприятий) за 2023 г. составил</w:t>
      </w:r>
      <w:r>
        <w:rPr>
          <w:color w:val="000000"/>
          <w:sz w:val="28"/>
          <w:u w:val="single"/>
        </w:rPr>
        <w:t xml:space="preserve">    </w:t>
      </w:r>
      <w:r>
        <w:rPr>
          <w:color w:val="000000"/>
          <w:sz w:val="28"/>
        </w:rPr>
        <w:t xml:space="preserve"> 445917,2 тыс. руб., что ниже уровня 2022 г. на 39,4 </w:t>
      </w:r>
      <w:r>
        <w:rPr>
          <w:color w:val="000000"/>
          <w:sz w:val="28"/>
        </w:rPr>
        <w:t xml:space="preserve">% (2022 г.–</w:t>
      </w:r>
      <w:r>
        <w:rPr>
          <w:color w:val="000000"/>
          <w:sz w:val="28"/>
          <w:u w:val="single"/>
        </w:rPr>
        <w:t xml:space="preserve"> 735692,4 тыс</w:t>
      </w:r>
      <w:r>
        <w:rPr>
          <w:color w:val="000000"/>
          <w:sz w:val="28"/>
        </w:rPr>
        <w:t xml:space="preserve">. руб.). 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Отраслевая структура оборота малых предприятий (без микропредприятий) за 2022-2023 г. характеризуется показателями: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</w:rPr>
        <w:t xml:space="preserve"> </w:t>
      </w:r>
      <w:r/>
    </w:p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992"/>
        <w:gridCol w:w="1276"/>
        <w:gridCol w:w="1276"/>
        <w:gridCol w:w="1701"/>
      </w:tblGrid>
      <w:tr>
        <w:trPr/>
        <w:tc>
          <w:tcPr>
            <w:shd w:val="clear" w:color="deeaf6" w:fill="deeaf6"/>
            <w:tcBorders>
              <w:top w:val="single" w:color="9CC2E5" w:sz="8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Оборот малых предприятий</w:t>
            </w:r>
            <w:r/>
          </w:p>
        </w:tc>
        <w:tc>
          <w:tcPr>
            <w:gridSpan w:val="2"/>
            <w:shd w:val="clear" w:color="deeaf6" w:fill="deeaf6"/>
            <w:tcBorders>
              <w:top w:val="single" w:color="9CC2E5" w:sz="8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2022г.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shd w:val="clear" w:color="deeaf6" w:fill="deeaf6"/>
            <w:tcBorders>
              <w:top w:val="single" w:color="9CC2E5" w:sz="8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2023г.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deeaf6" w:fill="deeaf6"/>
            <w:tcBorders>
              <w:top w:val="single" w:color="9CC2E5" w:sz="8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Темп роста, %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Доля, 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Доля, 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shd w:val="clear" w:color="deeaf6" w:fill="deeaf6"/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ВСЕГО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В торговле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40414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5,5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60320,4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13,5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149,3</w:t>
            </w:r>
            <w:r/>
          </w:p>
        </w:tc>
      </w:tr>
      <w:tr>
        <w:trPr/>
        <w:tc>
          <w:tcPr>
            <w:shd w:val="clear" w:color="deeaf6" w:fill="deeaf6"/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В строительстве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>
          <w:trHeight w:val="526"/>
        </w:trPr>
        <w:tc>
          <w:tcPr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В обрабатывающих производствах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shd w:val="clear" w:color="deeaf6" w:fill="deeaf6"/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В сельском и лесном хозяйстве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252675,7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34,3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268369,9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60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106,2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Добыча полезных ископаемых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shd w:val="clear" w:color="deeaf6" w:fill="deeaf6"/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Транспортировка и хранение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424204,7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57,7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92915,5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20,8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219</w:t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Деятельность гостиниц и предприятий общественного питания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18398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24311,4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5,5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132,1</w:t>
            </w:r>
            <w:r/>
          </w:p>
        </w:tc>
      </w:tr>
      <w:tr>
        <w:trPr/>
        <w:tc>
          <w:tcPr>
            <w:shd w:val="clear" w:color="deeaf6" w:fill="deeaf6"/>
            <w:tcBorders>
              <w:top w:val="none" w:color="000000" w:sz="4" w:space="0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/>
                <w:sz w:val="22"/>
              </w:rPr>
              <w:t xml:space="preserve">Прочие</w:t>
            </w:r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shd w:val="clear" w:color="deeaf6" w:fill="deeaf6"/>
            <w:tcBorders>
              <w:top w:val="none" w:color="000000" w:sz="4" w:space="0"/>
              <w:left w:val="none" w:color="000000" w:sz="4" w:space="0"/>
              <w:bottom w:val="single" w:color="9CC2E5" w:sz="8" w:space="0"/>
              <w:right w:val="single" w:color="9CC2E5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</w:tbl>
    <w:p>
      <w:pPr>
        <w:pStyle w:val="101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1014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3 Объем инвестиций в основной капитал (за исключением бюджетных средств), в расчете на 1 жителя.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Общий объем инвестиций в основной капитал по крупным и средним организациям составил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764 839,00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тыс. рублей (темп роста к 2022 году - 111,3%), в том числе бюджетные  - 628 702 тыс. рублей (темп роста к 2022 году- 106,7%), частные -136 137 тыс. рублей (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темп роста к 2022 году- 139,3%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).</w:t>
      </w:r>
      <w:r/>
    </w:p>
    <w:p>
      <w:pPr>
        <w:ind w:firstLine="851"/>
        <w:jc w:val="both"/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 Объем инвес</w:t>
      </w:r>
      <w:r>
        <w:rPr>
          <w:color w:val="000000"/>
          <w:sz w:val="28"/>
        </w:rPr>
        <w:t xml:space="preserve">ти</w:t>
      </w:r>
      <w:r>
        <w:rPr>
          <w:color w:val="000000"/>
          <w:sz w:val="28"/>
        </w:rPr>
        <w:t xml:space="preserve">ций в основной капитал (за исключением бюджетных средств) на душу населения в 2023 г. составил 8,7 тыс. руб. Темп роста данного показателя по отношению к аналогичному показателю прошлого года - 142,6 % (данный показатель на 01.01.2023 г. – 6,1 тыс. руб.). </w:t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0" w:firstLine="78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Причиной увеличения объема частных инвестиций в 2023 г. является ввод объектов туристической деятельности, строительство сооружений.</w:t>
      </w:r>
      <w:r/>
    </w:p>
    <w:p>
      <w:pPr>
        <w:ind w:left="0" w:right="0" w:firstLine="787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счет частных инвестиций в 2023 году реализовывались следующие мероприятия:</w:t>
      </w:r>
      <w:r/>
    </w:p>
    <w:p>
      <w:pPr>
        <w:numPr>
          <w:ilvl w:val="0"/>
          <w:numId w:val="25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строительство сооружений Филиал ПАО «Россети Сибирь- «Алтайэнерго» ;</w:t>
      </w:r>
      <w:r/>
    </w:p>
    <w:p>
      <w:pPr>
        <w:numPr>
          <w:ilvl w:val="0"/>
          <w:numId w:val="25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приобретение спецтехники, оборудования и транспортных средств СПК «Абайский». </w:t>
      </w:r>
      <w:r/>
    </w:p>
    <w:p>
      <w:pPr>
        <w:ind w:left="1496" w:firstLine="0"/>
        <w:jc w:val="both"/>
        <w:spacing w:before="0" w:after="0" w:line="253" w:lineRule="atLeast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ind w:left="0" w:right="0" w:firstLine="787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счет бюджетных инвестиций в 2023 году реализовывались следующие мероприятия: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87"/>
        <w:jc w:val="both"/>
        <w:spacing w:before="0" w:after="0"/>
        <w:rPr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- </w:t>
      </w:r>
      <w:r>
        <w:rPr>
          <w:b w:val="0"/>
          <w:bCs w:val="0"/>
          <w:color w:val="000000"/>
          <w:sz w:val="28"/>
        </w:rPr>
        <w:t xml:space="preserve">строительство автомобильной дороги общего пользования регионального значения;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763"/>
        <w:numPr>
          <w:ilvl w:val="0"/>
          <w:numId w:val="27"/>
        </w:numPr>
        <w:ind w:right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/>
          <w:sz w:val="28"/>
          <w:highlight w:val="none"/>
        </w:rPr>
        <w:t xml:space="preserve">приобретение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highlight w:val="none"/>
        </w:rPr>
        <w:t xml:space="preserve"> медицинского комплекса “Лучевая диагностика”.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8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firstLine="78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8"/>
        </w:rPr>
        <w:t xml:space="preserve">В 2024 г. за счет </w:t>
      </w:r>
      <w:r>
        <w:rPr>
          <w:b/>
          <w:i/>
          <w:color w:val="000000"/>
          <w:sz w:val="28"/>
        </w:rPr>
        <w:t xml:space="preserve">бюджетных средств</w:t>
      </w:r>
      <w:r>
        <w:rPr>
          <w:b/>
          <w:color w:val="000000"/>
          <w:sz w:val="28"/>
        </w:rPr>
        <w:t xml:space="preserve"> планируется: </w:t>
      </w:r>
      <w:r>
        <w:rPr>
          <w:b w:val="0"/>
          <w:bCs w:val="0"/>
          <w:color w:val="000000"/>
          <w:sz w:val="28"/>
        </w:rPr>
        <w:t xml:space="preserve">строительство автомобильной дороги общего пользования регионального значения, строительство сельского клуба  в с. Сугаш.</w:t>
      </w:r>
      <w:r>
        <w:rPr>
          <w:b w:val="0"/>
          <w:bCs w:val="0"/>
        </w:rPr>
      </w:r>
      <w:r/>
    </w:p>
    <w:p>
      <w:pPr>
        <w:pStyle w:val="101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1014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П.4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площади земельных </w:t>
      </w:r>
      <w:r>
        <w:rPr>
          <w:color w:val="000000"/>
          <w:sz w:val="28"/>
        </w:rPr>
        <w:t xml:space="preserve">у</w:t>
      </w:r>
      <w:r>
        <w:rPr>
          <w:color w:val="000000"/>
          <w:sz w:val="28"/>
        </w:rPr>
        <w:t xml:space="preserve">частков, являющихся объектами налогообложения земельным налогом, в общей площади территории городского округа (муниципального района) по состоянию на 01.01.2024 г. составляет 30,339 %, по сравнению на 01.01.2023 г. (30,147 %) произошло увеличение на 0,192 </w:t>
      </w:r>
      <w:r>
        <w:rPr>
          <w:color w:val="000000"/>
          <w:sz w:val="28"/>
        </w:rPr>
        <w:t xml:space="preserve">%.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На увеличение площади земельных участков, явл</w:t>
      </w:r>
      <w:r>
        <w:rPr>
          <w:color w:val="000000"/>
          <w:sz w:val="28"/>
        </w:rPr>
        <w:t xml:space="preserve">яющихся объектами налогообложения, повлияло увеличение приобретения права собственности на земельные участки, находящиеся в аренде после окончания строительства объектов.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году общая площадь территории муниципального образования «Усть-Коксинский район» составляет 1295186 </w:t>
      </w:r>
      <w:r>
        <w:rPr>
          <w:color w:val="000000"/>
          <w:sz w:val="28"/>
        </w:rPr>
        <w:t xml:space="preserve">га.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Общая площадь земельных участков, являющихся объектами налогообложения земельным налогом по состоянию 01.01.2024 г., составила </w:t>
      </w:r>
      <w:r>
        <w:rPr>
          <w:color w:val="000000"/>
          <w:sz w:val="28"/>
          <w:u w:val="none"/>
        </w:rPr>
        <w:t xml:space="preserve">392950,635 </w:t>
      </w:r>
      <w:r>
        <w:rPr>
          <w:color w:val="000000"/>
          <w:sz w:val="28"/>
        </w:rPr>
        <w:t xml:space="preserve">га, что составляет 30,339 </w:t>
      </w:r>
      <w:r>
        <w:rPr>
          <w:color w:val="000000"/>
          <w:sz w:val="28"/>
        </w:rPr>
        <w:t xml:space="preserve">% от общей площади т</w:t>
      </w:r>
      <w:r>
        <w:rPr>
          <w:color w:val="000000"/>
          <w:sz w:val="28"/>
        </w:rPr>
        <w:t xml:space="preserve">ерритории м</w:t>
      </w:r>
      <w:r>
        <w:rPr>
          <w:color w:val="000000"/>
          <w:sz w:val="28"/>
        </w:rPr>
        <w:t xml:space="preserve">униципального образования «Усть-Коксинский район», т.к. из общей площади территории муниципального района исключены земельные участки, не являющиеся объектами налогообложения, в соответствии со статьей 389 Налогового кодекса Российской Федерации, а именно: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333227 га – земли лесного фонда;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2416 га – земли водного фонда;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235012 га – земли государственного запаса, по которым не определена категория земель, отсутствует кадастровая оценка и которые никому не предоставлены;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u w:val="single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151 664 га – земли особо охраняемых природных территорий - земли государственного природного биосферного заповедника «Катунский» </w:t>
      </w:r>
      <w:r>
        <w:rPr>
          <w:color w:val="000000"/>
          <w:sz w:val="28"/>
          <w:u w:val="single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70754 га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– земли, предоставленные в аренду физическим и юридическим лицам. На данные земли налог не начисляется, а наполняемость бюджета осуществляется от арендных платежей. </w:t>
      </w:r>
      <w:r/>
    </w:p>
    <w:p>
      <w:pPr>
        <w:ind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Уточненные данные в</w:t>
      </w:r>
      <w:r>
        <w:rPr>
          <w:color w:val="000000"/>
          <w:sz w:val="28"/>
        </w:rPr>
        <w:t xml:space="preserve">зяты из формы федеральн</w:t>
      </w:r>
      <w:r>
        <w:rPr>
          <w:color w:val="000000"/>
          <w:sz w:val="28"/>
        </w:rPr>
        <w:t xml:space="preserve">ого статистического наблюдения № 22-1 «Сведения о наличии и распределении земель по категориям и формам собственности» на 01.01.2024 г.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целях исполнения прогнозных показателей Администрацией муниципального образования «Усть-Коксинский район» проводится:</w:t>
      </w:r>
      <w:r/>
    </w:p>
    <w:p>
      <w:pPr>
        <w:numPr>
          <w:ilvl w:val="0"/>
          <w:numId w:val="12"/>
        </w:numPr>
        <w:ind w:left="0" w:firstLine="709"/>
        <w:jc w:val="both"/>
        <w:tabs>
          <w:tab w:val="left" w:pos="851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разъяснительная работа с физическими и юридическими лицами о необходимости приобретения права собственности на земельные участки, находящиеся на праве аренды после окончания строительства объектов недвижимости;</w:t>
      </w:r>
      <w:r/>
    </w:p>
    <w:p>
      <w:pPr>
        <w:numPr>
          <w:ilvl w:val="0"/>
          <w:numId w:val="12"/>
        </w:numPr>
        <w:ind w:left="0" w:firstLine="709"/>
        <w:jc w:val="both"/>
        <w:tabs>
          <w:tab w:val="left" w:pos="851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мероприятия по выявлению правообладателей ранее учтенных объектов недвижимости, с информированием населения о необходимости регистрации своих прав на принадлежащие им объекты недвижимости.</w:t>
      </w:r>
      <w:r/>
    </w:p>
    <w:p>
      <w:pPr>
        <w:ind w:firstLine="567"/>
        <w:jc w:val="both"/>
        <w:tabs>
          <w:tab w:val="left" w:pos="4962" w:leader="none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ind w:firstLine="567"/>
        <w:jc w:val="both"/>
        <w:tabs>
          <w:tab w:val="left" w:pos="4962" w:leader="none"/>
        </w:tabs>
        <w:rPr>
          <w:b/>
          <w:bCs/>
          <w:spacing w:val="-4"/>
          <w:sz w:val="26"/>
          <w:szCs w:val="26"/>
          <w:highlight w:val="none"/>
        </w:rPr>
      </w:pPr>
      <w:r>
        <w:rPr>
          <w:b/>
          <w:spacing w:val="-4"/>
          <w:sz w:val="26"/>
          <w:szCs w:val="26"/>
        </w:rPr>
        <w:t xml:space="preserve">П.5 Доля прибыльных сельскохозяйственных организаций в общем их числе.</w:t>
      </w:r>
      <w:r/>
    </w:p>
    <w:p>
      <w:pPr>
        <w:ind w:firstLine="567"/>
        <w:jc w:val="both"/>
        <w:tabs>
          <w:tab w:val="left" w:pos="4962" w:leader="none"/>
        </w:tabs>
        <w:rPr>
          <w:b/>
          <w:bCs/>
          <w:spacing w:val="-4"/>
          <w:sz w:val="26"/>
          <w:szCs w:val="26"/>
        </w:rPr>
      </w:pPr>
      <w:r>
        <w:rPr>
          <w:b/>
          <w:spacing w:val="-4"/>
          <w:sz w:val="26"/>
          <w:szCs w:val="26"/>
          <w:highlight w:val="none"/>
        </w:rPr>
      </w:r>
      <w:r>
        <w:rPr>
          <w:b/>
          <w:spacing w:val="-4"/>
          <w:sz w:val="26"/>
          <w:szCs w:val="26"/>
          <w:highlight w:val="none"/>
        </w:rPr>
      </w:r>
      <w:r/>
    </w:p>
    <w:p>
      <w:pPr>
        <w:ind w:firstLine="567"/>
        <w:jc w:val="both"/>
        <w:tabs>
          <w:tab w:val="left" w:pos="4962" w:leader="none"/>
        </w:tabs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8"/>
        </w:rPr>
        <w:t xml:space="preserve">В аграрном секторе по виду деятельности «Сельское хозяйство» фактически  осуществляет свою деятельность </w:t>
      </w:r>
      <w:r>
        <w:rPr>
          <w:color w:val="000000"/>
          <w:spacing w:val="-4"/>
          <w:sz w:val="28"/>
        </w:rPr>
        <w:t xml:space="preserve">160 хозяйств всех категорий, из которых </w:t>
      </w:r>
      <w:r>
        <w:rPr>
          <w:color w:val="000000"/>
          <w:spacing w:val="-4"/>
          <w:sz w:val="28"/>
        </w:rPr>
        <w:t xml:space="preserve">20 сельскохозяйственных предприятий, </w:t>
      </w:r>
      <w:r>
        <w:rPr>
          <w:color w:val="000000"/>
          <w:spacing w:val="-4"/>
          <w:sz w:val="28"/>
        </w:rPr>
        <w:t xml:space="preserve">2 предприятия переработки сельхозпродукции  и </w:t>
      </w:r>
      <w:r>
        <w:rPr>
          <w:color w:val="000000"/>
          <w:spacing w:val="-4"/>
          <w:sz w:val="28"/>
        </w:rPr>
        <w:t xml:space="preserve">138 крестьянских-фермерских хозяйств. </w:t>
      </w:r>
      <w:r/>
    </w:p>
    <w:p>
      <w:pPr>
        <w:ind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За  2023 год  сумма государственной поддержки сельскохозяйственных   организаций  составила </w:t>
      </w:r>
      <w:r>
        <w:rPr>
          <w:color w:val="000000"/>
          <w:sz w:val="28"/>
        </w:rPr>
        <w:t xml:space="preserve">–</w:t>
      </w:r>
      <w:r>
        <w:rPr>
          <w:color w:val="000000"/>
          <w:sz w:val="28"/>
        </w:rPr>
        <w:t xml:space="preserve"> 86 163,69 тыс.руб. Совокупный финансовый результат  среди получателей субсидий – 56 676 тыс. руб., доля прибыльных сельскохозяйственных   организаций составила – 84, 2 %.</w:t>
      </w:r>
      <w:r/>
    </w:p>
    <w:p>
      <w:pPr>
        <w:ind w:firstLine="567"/>
        <w:jc w:val="both"/>
        <w:tabs>
          <w:tab w:val="left" w:pos="4962" w:leader="none"/>
        </w:tabs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</w:r>
      <w:r/>
    </w:p>
    <w:p>
      <w:pPr>
        <w:pStyle w:val="1014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2023 г. протяженность автомобильных дорог общего пользования местного значения составляет  293 600 км. Данный показатель не превысил показатель  2022 года.</w:t>
      </w:r>
      <w:r>
        <w:rPr>
          <w:rFonts w:ascii="Times New Roman" w:hAnsi="Times New Roman" w:eastAsia="Times New Roman" w:cs="Times New Roman"/>
          <w:color w:val="ff0000"/>
          <w:sz w:val="28"/>
        </w:rPr>
        <w:t xml:space="preserve"> 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Следовательно, для расчета показателя 6 оценки эффективности деятельности органов местного самоуправления муниципального образования «Усть-Коксинский район» за 2023 год  протяженность автомобильных дорог общего пользования местного значения, не отвечающих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нормативным требованиям отражена в размере 173200 км, по сравнению с 2023 г. показатель остался без изменений. 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Соответственно,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2023 г. составила 58,992 по сравнению с 202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 г. показатель остался без изменений.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Изменение показателя в лучшую сторону связано с проведение капитального ремонта автомобильных дорог местного значения в рамках Дорожного фонда МО «Усть-Коксинский район» таких как:</w:t>
      </w:r>
      <w:r/>
    </w:p>
    <w:tbl>
      <w:tblPr>
        <w:tblStyle w:val="77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10"/>
        <w:gridCol w:w="4301"/>
        <w:gridCol w:w="1681"/>
        <w:gridCol w:w="2662"/>
      </w:tblGrid>
      <w:tr>
        <w:trPr/>
        <w:tc>
          <w:tcPr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single" w:color="BFBFBF" w:sz="8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Наименование объекта (Адрес)</w:t>
            </w:r>
            <w:r/>
          </w:p>
        </w:tc>
        <w:tc>
          <w:tcPr>
            <w:tcBorders>
              <w:top w:val="single" w:color="BFBFBF" w:sz="8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Протяженность, км</w:t>
            </w:r>
            <w:r/>
          </w:p>
        </w:tc>
        <w:tc>
          <w:tcPr>
            <w:tcBorders>
              <w:top w:val="single" w:color="BFBFBF" w:sz="8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Размер бюджетных ассигнований, тыс. руб.</w:t>
            </w:r>
            <w:r/>
          </w:p>
        </w:tc>
      </w:tr>
      <w:tr>
        <w:trPr/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1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с. Усть-Кокса, ул. Мелиораторов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0,950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3561,904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с. Усть-Кокса, пер. Спортивный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0,410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990,997</w:t>
            </w:r>
            <w:r/>
          </w:p>
        </w:tc>
      </w:tr>
      <w:tr>
        <w:trPr>
          <w:trHeight w:val="338"/>
        </w:trPr>
        <w:tc>
          <w:tcPr>
            <w:shd w:val="clear" w:color="f2f2f2" w:fill="f2f2f2"/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70ad47"/>
                <w:sz w:val="20"/>
              </w:rPr>
              <w:t xml:space="preserve">3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с. Усть-Кокса, ул. Шукшина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1,225</w:t>
            </w:r>
            <w:r/>
          </w:p>
        </w:tc>
        <w:tc>
          <w:tcPr>
            <w:shd w:val="clear" w:color="f2f2f2" w:fill="f2f2f2"/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2521,723</w:t>
            </w:r>
            <w:r/>
          </w:p>
        </w:tc>
      </w:tr>
      <w:tr>
        <w:trPr>
          <w:trHeight w:val="209"/>
        </w:trPr>
        <w:tc>
          <w:tcPr>
            <w:tcBorders>
              <w:top w:val="none" w:color="000000" w:sz="4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2,585 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BFBFBF" w:sz="8" w:space="0"/>
              <w:right w:val="single" w:color="BFBFBF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7074,624</w:t>
            </w:r>
            <w:r/>
          </w:p>
        </w:tc>
      </w:tr>
    </w:tbl>
    <w:p>
      <w:pPr>
        <w:ind w:left="0" w:right="0" w:firstLine="56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прогнозном периоде до 2025 года не планируется увеличение протяженности дорог общего пользования местного значения</w:t>
      </w:r>
      <w:r>
        <w:rPr>
          <w:rFonts w:ascii="Courier New" w:hAnsi="Courier New" w:eastAsia="Courier New" w:cs="Courier New"/>
          <w:color w:val="00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Сокращение доли протяженности дорог, не отвечающих нормативным требованиям, в общей протяженности автодорог будет осуществляться за счёт ежегодных ремонтов не более 5 км дорог (в связи с нехваткой средств в муниципальном дорожном фонде). Резкое положительн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ое изменение в показателях может зависеть только от поступления в бюджет района средств из республиканского бюджета Республики Алтай, направленных на ремонт автомобильных дорог.</w:t>
      </w:r>
      <w:r/>
    </w:p>
    <w:p>
      <w:pPr>
        <w:ind w:firstLine="567"/>
        <w:jc w:val="both"/>
        <w:widowControl w:val="off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</w:r>
      <w:r/>
    </w:p>
    <w:p>
      <w:pPr>
        <w:ind w:firstLine="567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</w:t>
      </w:r>
      <w:bookmarkStart w:id="0" w:name="_GoBack"/>
      <w:r/>
      <w:bookmarkEnd w:id="0"/>
      <w:r>
        <w:rPr>
          <w:b/>
          <w:sz w:val="26"/>
          <w:szCs w:val="26"/>
        </w:rPr>
        <w:t xml:space="preserve">ниципального района), в общей численности населения городского округа (муниципального района).</w:t>
      </w:r>
      <w:r/>
    </w:p>
    <w:p>
      <w:pPr>
        <w:ind w:left="0" w:right="0" w:firstLine="56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100 % населения, проживающих в населенных пунктах, имеют регулярное автобусное сообщение с административным центром. Данная услуга находит продвижение среди коммерческих структур. В комплексной программе социально- экономического развития муниципального о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бразования запланировано строительство дороги на Казахстан. </w:t>
      </w:r>
      <w:r/>
    </w:p>
    <w:p>
      <w:pPr>
        <w:ind w:left="0" w:right="0" w:firstLine="56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4"/>
          <w:sz w:val="26"/>
        </w:rPr>
        <w:t xml:space="preserve"> </w:t>
      </w:r>
      <w:r/>
    </w:p>
    <w:p>
      <w:pPr>
        <w:ind w:firstLine="567"/>
        <w:jc w:val="both"/>
        <w:widowControl w:val="off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П.8 Среднемесячная номинальная начисленная заработная плата работников.</w:t>
      </w:r>
      <w:r/>
    </w:p>
    <w:p>
      <w:pPr>
        <w:ind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pacing w:val="-4"/>
          <w:sz w:val="26"/>
        </w:rPr>
        <w:t xml:space="preserve">крупных и средних предприятий и некоммерческих организаций городского округа (муниципального района):</w:t>
      </w:r>
      <w:r/>
    </w:p>
    <w:p>
      <w:pPr>
        <w:ind w:firstLine="709"/>
        <w:jc w:val="both"/>
        <w:spacing w:line="65" w:lineRule="atLeast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Среднемесячная заработная плата работников крупных, средних предприятий и некоммерческих организаций Усть-Коксинского района за </w:t>
      </w:r>
      <w:r>
        <w:rPr>
          <w:color w:val="000000"/>
          <w:sz w:val="28"/>
        </w:rPr>
        <w:t xml:space="preserve">2023 г. </w:t>
      </w:r>
      <w:r>
        <w:rPr>
          <w:color w:val="000000"/>
          <w:sz w:val="28"/>
          <w:highlight w:val="white"/>
        </w:rPr>
        <w:t xml:space="preserve">составила </w:t>
      </w:r>
      <w:r>
        <w:rPr>
          <w:color w:val="000000"/>
          <w:sz w:val="28"/>
        </w:rPr>
        <w:t xml:space="preserve">38885 руб., </w:t>
      </w:r>
      <w:r>
        <w:rPr>
          <w:color w:val="000000"/>
          <w:sz w:val="28"/>
          <w:highlight w:val="white"/>
        </w:rPr>
        <w:t xml:space="preserve">и возросла к уровню прошлого года на </w:t>
      </w:r>
      <w:r>
        <w:rPr>
          <w:color w:val="000000"/>
          <w:sz w:val="28"/>
        </w:rPr>
        <w:t xml:space="preserve">14,3 %. </w:t>
      </w:r>
      <w:r>
        <w:rPr>
          <w:color w:val="000000"/>
          <w:sz w:val="28"/>
          <w:highlight w:val="white"/>
        </w:rPr>
        <w:t xml:space="preserve">Средняя заработная плата крупных, средних предприятий и некоммерческих организаций в </w:t>
      </w:r>
      <w:r>
        <w:rPr>
          <w:color w:val="000000"/>
          <w:sz w:val="28"/>
        </w:rPr>
        <w:t xml:space="preserve">2024 г. </w:t>
      </w:r>
      <w:r>
        <w:rPr>
          <w:color w:val="000000"/>
          <w:sz w:val="28"/>
          <w:highlight w:val="white"/>
        </w:rPr>
        <w:t xml:space="preserve">планируется на уровне </w:t>
      </w:r>
      <w:r>
        <w:rPr>
          <w:color w:val="000000"/>
          <w:sz w:val="28"/>
          <w:highlight w:val="none"/>
        </w:rPr>
        <w:t xml:space="preserve">41150 </w:t>
      </w:r>
      <w:r>
        <w:rPr>
          <w:color w:val="000000"/>
          <w:sz w:val="28"/>
        </w:rPr>
        <w:t xml:space="preserve">руб. </w:t>
      </w:r>
      <w:r>
        <w:rPr>
          <w:color w:val="000000"/>
          <w:sz w:val="28"/>
          <w:highlight w:val="white"/>
        </w:rPr>
        <w:t xml:space="preserve">с ростом к </w:t>
      </w:r>
      <w:r>
        <w:rPr>
          <w:color w:val="000000"/>
          <w:sz w:val="28"/>
        </w:rPr>
        <w:t xml:space="preserve">2023г. на 5,8%, в 2025 г. – 41850 руб. с ростом к 2024 г. на 1,7 %, в 2026 г. составит </w:t>
      </w:r>
      <w:r>
        <w:rPr>
          <w:color w:val="000000"/>
          <w:sz w:val="28"/>
        </w:rPr>
        <w:t xml:space="preserve">42687 руб. с ростом к 2025 г. на 2</w:t>
      </w:r>
      <w:r>
        <w:rPr>
          <w:color w:val="000000"/>
          <w:sz w:val="28"/>
        </w:rPr>
        <w:t xml:space="preserve">%.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z w:val="26"/>
        </w:rPr>
        <w:t xml:space="preserve">муниципальных дошкольных образовательных учреждений: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Среднемесячная номинальная начисленная заработная плата работников муниципальных дошкольных образовательных организаций за </w:t>
      </w:r>
      <w:r>
        <w:rPr>
          <w:color w:val="000000"/>
          <w:sz w:val="28"/>
        </w:rPr>
        <w:t xml:space="preserve">2023 г. выросла</w:t>
      </w:r>
      <w:r>
        <w:rPr>
          <w:color w:val="000000"/>
          <w:sz w:val="28"/>
        </w:rPr>
        <w:t xml:space="preserve"> на 9,1% к уровню 2022 г. и составила 31581,8 руб. </w:t>
      </w:r>
      <w:r>
        <w:rPr>
          <w:color w:val="000000"/>
          <w:sz w:val="28"/>
          <w:highlight w:val="white"/>
        </w:rPr>
        <w:t xml:space="preserve">Рост среднемесячной номинальной начисленной заработной платы связан с повышением МРОТ.  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z w:val="26"/>
          <w:highlight w:val="white"/>
        </w:rPr>
        <w:t xml:space="preserve">муниципальных общеобразовательных учреждений: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Среднемесячная номинальная начисленная заработная плата работников муниципальных общеобразовательных организаций за </w:t>
      </w:r>
      <w:r>
        <w:rPr>
          <w:color w:val="000000"/>
          <w:sz w:val="28"/>
        </w:rPr>
        <w:t xml:space="preserve">2023 г. увеличилась на 9,2 </w:t>
      </w:r>
      <w:r>
        <w:rPr>
          <w:color w:val="000000"/>
          <w:sz w:val="28"/>
        </w:rPr>
        <w:t xml:space="preserve">% по отношению к уровню 2022 г. и составила 39231,8 руб. </w:t>
      </w:r>
      <w:r>
        <w:rPr>
          <w:color w:val="000000"/>
          <w:sz w:val="28"/>
          <w:highlight w:val="white"/>
        </w:rPr>
        <w:t xml:space="preserve">Рост среднемесячной номинальной начисленной заработной платы связан с выплатами ежемесячного денежного вознаграждения за классно</w:t>
      </w:r>
      <w:r>
        <w:rPr>
          <w:color w:val="000000"/>
          <w:sz w:val="28"/>
          <w:highlight w:val="white"/>
        </w:rPr>
        <w:t xml:space="preserve">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  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pacing w:val="-4"/>
          <w:sz w:val="26"/>
          <w:highlight w:val="white"/>
        </w:rPr>
        <w:t xml:space="preserve">учителей муниципальных общеобразовательных учреждений: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Среднемесячная начисленная заработная плата учителей за отчетный год изменилась в сторону </w:t>
      </w:r>
      <w:r>
        <w:rPr>
          <w:color w:val="000000"/>
          <w:sz w:val="28"/>
        </w:rPr>
        <w:t xml:space="preserve">увеличения на 3,9 % и составила </w:t>
      </w:r>
      <w:r>
        <w:rPr>
          <w:color w:val="000000"/>
          <w:sz w:val="28"/>
        </w:rPr>
        <w:t xml:space="preserve">41756,1 руб. </w:t>
      </w:r>
      <w:r>
        <w:rPr>
          <w:color w:val="000000"/>
          <w:sz w:val="28"/>
          <w:highlight w:val="white"/>
        </w:rPr>
        <w:t xml:space="preserve">Рост средней заработной платы связан с реализацией Указа Президента РФ № 597 от 07 мая 2012 г, а также с введением ежемесячного денежного вознаграждения за классное руководство</w:t>
      </w:r>
      <w:r>
        <w:rPr>
          <w:color w:val="000000"/>
          <w:sz w:val="28"/>
          <w:highlight w:val="none"/>
        </w:rPr>
        <w:t xml:space="preserve">.</w:t>
      </w:r>
      <w:r/>
    </w:p>
    <w:p>
      <w:pPr>
        <w:ind w:firstLine="709"/>
        <w:jc w:val="both"/>
        <w:spacing w:line="65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pacing w:val="-4"/>
          <w:sz w:val="26"/>
          <w:highlight w:val="white"/>
        </w:rPr>
        <w:t xml:space="preserve">муниципальных учреждений культуры и искусства:</w:t>
      </w:r>
      <w:r/>
    </w:p>
    <w:p>
      <w:pPr>
        <w:ind w:firstLine="709"/>
        <w:jc w:val="both"/>
        <w:rPr>
          <w:highlight w:val="red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Среднемесячная номинальная начисленная заработная плата работников культуры </w:t>
      </w:r>
      <w:r>
        <w:rPr>
          <w:color w:val="000000"/>
          <w:sz w:val="28"/>
        </w:rPr>
        <w:t xml:space="preserve">за 2023 г. составила </w:t>
      </w:r>
      <w:r>
        <w:rPr>
          <w:color w:val="000000"/>
          <w:sz w:val="28"/>
        </w:rPr>
        <w:t xml:space="preserve">38232,1 руб. </w:t>
      </w:r>
      <w:r>
        <w:rPr>
          <w:color w:val="000000"/>
          <w:sz w:val="28"/>
          <w:highlight w:val="white"/>
        </w:rPr>
        <w:t xml:space="preserve">Темп роста заработной платы к предыдущему </w:t>
      </w:r>
      <w:r>
        <w:rPr>
          <w:color w:val="000000"/>
          <w:sz w:val="28"/>
        </w:rPr>
        <w:t xml:space="preserve">2022 г.  составил – 113,57 %. </w:t>
      </w:r>
      <w:r>
        <w:rPr>
          <w:color w:val="000000"/>
          <w:sz w:val="28"/>
          <w:highlight w:val="white"/>
        </w:rPr>
        <w:t xml:space="preserve">(среднемесячная номинальная заработная плата работников культуры </w:t>
      </w:r>
      <w:r>
        <w:rPr>
          <w:color w:val="000000"/>
          <w:sz w:val="28"/>
        </w:rPr>
        <w:t xml:space="preserve">составила 33664,10 руб. в 2022 г.)</w:t>
      </w:r>
      <w:r/>
    </w:p>
    <w:p>
      <w:pPr>
        <w:ind w:firstLine="709"/>
        <w:jc w:val="both"/>
        <w:rPr>
          <w:i/>
          <w:spacing w:val="-4"/>
          <w:sz w:val="26"/>
          <w:szCs w:val="26"/>
          <w:highlight w:val="white"/>
        </w:rPr>
      </w:pPr>
      <w:r>
        <w:rPr>
          <w:i/>
          <w:spacing w:val="-4"/>
          <w:sz w:val="26"/>
          <w:szCs w:val="26"/>
          <w:highlight w:val="white"/>
        </w:rPr>
      </w:r>
      <w:r/>
    </w:p>
    <w:p>
      <w:pPr>
        <w:numPr>
          <w:ilvl w:val="0"/>
          <w:numId w:val="2"/>
        </w:numPr>
        <w:jc w:val="center"/>
        <w:tabs>
          <w:tab w:val="center" w:pos="993" w:leader="none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Дошкольное образование</w:t>
      </w:r>
      <w:r/>
    </w:p>
    <w:p>
      <w:pPr>
        <w:ind w:left="1287"/>
        <w:jc w:val="center"/>
        <w:tabs>
          <w:tab w:val="center" w:pos="993" w:leader="none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  <w:r/>
    </w:p>
    <w:p>
      <w:pPr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По состоянию на 1 января 2023 года в МО «Усть-Коксинский район» функционирует 26 </w:t>
      </w:r>
      <w:r>
        <w:rPr>
          <w:color w:val="000000"/>
          <w:sz w:val="28"/>
          <w:highlight w:val="white"/>
        </w:rPr>
        <w:t xml:space="preserve">муниципальных бюджетных дошкольных образовательных учреждений детских садов, в том числе:</w:t>
      </w:r>
      <w:r/>
    </w:p>
    <w:p>
      <w:pPr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0</w:t>
      </w:r>
      <w:r>
        <w:rPr>
          <w:color w:val="000000"/>
          <w:sz w:val="28"/>
          <w:highlight w:val="white"/>
        </w:rPr>
        <w:t xml:space="preserve"> юридических лиц;</w:t>
      </w:r>
      <w:r/>
    </w:p>
    <w:p>
      <w:pPr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26 </w:t>
      </w:r>
      <w:r>
        <w:rPr>
          <w:color w:val="000000"/>
          <w:sz w:val="28"/>
          <w:highlight w:val="white"/>
        </w:rPr>
        <w:t xml:space="preserve">структурных подразделений/филиалов.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Количество групп в организациях, осуществляющих образовательную деятельность по образовательным программам дошкольного образования, присмотр и уход за детьми, составляет:</w:t>
      </w:r>
      <w:r/>
    </w:p>
    <w:p>
      <w:pPr>
        <w:ind w:firstLine="709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- 47</w:t>
      </w:r>
      <w:r>
        <w:rPr>
          <w:color w:val="000000"/>
          <w:sz w:val="28"/>
        </w:rPr>
        <w:t xml:space="preserve"> групп общеразвивающей направленности;</w:t>
      </w:r>
      <w:r/>
    </w:p>
    <w:p>
      <w:pPr>
        <w:ind w:firstLine="709"/>
        <w:jc w:val="both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- 13</w:t>
      </w:r>
      <w:r>
        <w:rPr>
          <w:color w:val="000000"/>
          <w:sz w:val="28"/>
        </w:rPr>
        <w:t xml:space="preserve"> групп комбинированной направленности;</w:t>
      </w:r>
      <w:r>
        <w:rPr>
          <w:color w:val="000000"/>
          <w:sz w:val="28"/>
        </w:rPr>
        <w:t xml:space="preserve"> 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- 0  групп компенсирующей направленности;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- 0 групп оздоровительной направленности.</w:t>
      </w:r>
      <w:r/>
    </w:p>
    <w:p>
      <w:pPr>
        <w:ind w:firstLine="709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Вариативные формы предоставления услуг дошкольного образования представлены: группами кратковременного пребывания, </w:t>
      </w:r>
      <w:r>
        <w:rPr>
          <w:color w:val="000000"/>
          <w:sz w:val="28"/>
        </w:rPr>
        <w:t xml:space="preserve">семейными </w:t>
      </w:r>
      <w:r>
        <w:rPr>
          <w:color w:val="000000"/>
          <w:sz w:val="28"/>
        </w:rPr>
        <w:t xml:space="preserve">дошкольными группами </w:t>
      </w:r>
      <w:r>
        <w:rPr>
          <w:color w:val="000000"/>
          <w:sz w:val="28"/>
        </w:rPr>
        <w:t xml:space="preserve">и частными детскими садами.</w:t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</w:t>
      </w:r>
      <w:r>
        <w:rPr>
          <w:color w:val="000000"/>
          <w:sz w:val="28"/>
          <w:highlight w:val="white"/>
        </w:rPr>
        <w:t xml:space="preserve">году запущено </w:t>
      </w:r>
      <w:r>
        <w:rPr>
          <w:color w:val="000000"/>
          <w:sz w:val="28"/>
        </w:rPr>
        <w:t xml:space="preserve">0 </w:t>
      </w:r>
      <w:r>
        <w:rPr>
          <w:color w:val="000000"/>
          <w:sz w:val="28"/>
          <w:highlight w:val="white"/>
        </w:rPr>
        <w:t xml:space="preserve">детских</w:t>
      </w:r>
      <w:r>
        <w:rPr>
          <w:color w:val="000000"/>
          <w:sz w:val="28"/>
          <w:highlight w:val="white"/>
        </w:rPr>
        <w:t xml:space="preserve"> сада</w:t>
      </w:r>
      <w:r>
        <w:rPr>
          <w:color w:val="000000"/>
          <w:sz w:val="28"/>
          <w:highlight w:val="none"/>
        </w:rPr>
        <w:t xml:space="preserve">.</w:t>
      </w:r>
      <w:r/>
    </w:p>
    <w:p>
      <w:pPr>
        <w:ind w:firstLine="709"/>
        <w:jc w:val="both"/>
        <w:spacing w:line="253" w:lineRule="atLeast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Открыто </w:t>
      </w:r>
      <w:r>
        <w:rPr>
          <w:color w:val="000000"/>
          <w:sz w:val="28"/>
          <w:highlight w:val="none"/>
        </w:rPr>
        <w:t xml:space="preserve">0 </w:t>
      </w:r>
      <w:r>
        <w:rPr>
          <w:color w:val="000000"/>
          <w:sz w:val="28"/>
          <w:highlight w:val="white"/>
        </w:rPr>
        <w:t xml:space="preserve">семейных групп при дошкольных учреждениях</w:t>
      </w:r>
      <w:r>
        <w:rPr>
          <w:color w:val="000000"/>
          <w:sz w:val="28"/>
          <w:highlight w:val="none"/>
        </w:rPr>
        <w:t xml:space="preserve">.</w:t>
      </w:r>
      <w:r/>
    </w:p>
    <w:p>
      <w:pPr>
        <w:ind w:firstLine="709"/>
        <w:jc w:val="both"/>
        <w:spacing w:line="253" w:lineRule="atLeast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Функционирует 3 группы кратковременного пребывания с охватом 28 детей. </w:t>
      </w:r>
      <w:r/>
    </w:p>
    <w:p>
      <w:pPr>
        <w:ind w:firstLine="709"/>
        <w:jc w:val="both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</w:t>
      </w:r>
      <w:r>
        <w:rPr>
          <w:color w:val="000000"/>
          <w:sz w:val="28"/>
          <w:highlight w:val="white"/>
        </w:rPr>
        <w:t xml:space="preserve">году перепрофилирования групп и мест в группах  в действующих детских садах не было</w:t>
      </w:r>
      <w:r>
        <w:rPr>
          <w:color w:val="000000"/>
          <w:sz w:val="28"/>
          <w:highlight w:val="none"/>
        </w:rPr>
        <w:t xml:space="preserve">.</w:t>
      </w:r>
      <w:r/>
    </w:p>
    <w:p>
      <w:pPr>
        <w:ind w:left="-57" w:firstLine="765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В муниципальном образовании нет</w:t>
      </w:r>
      <w:r>
        <w:rPr>
          <w:color w:val="000000"/>
          <w:sz w:val="28"/>
          <w:highlight w:val="white"/>
        </w:rPr>
        <w:t xml:space="preserve"> частных детских сад</w:t>
      </w:r>
      <w:r>
        <w:rPr>
          <w:color w:val="000000"/>
          <w:sz w:val="28"/>
          <w:highlight w:val="none"/>
        </w:rPr>
        <w:t xml:space="preserve">ов.</w:t>
      </w:r>
      <w:r>
        <w:rPr>
          <w:color w:val="000000"/>
          <w:sz w:val="28"/>
        </w:rPr>
      </w:r>
      <w:r/>
    </w:p>
    <w:p>
      <w:pPr>
        <w:ind w:firstLine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  <w:r/>
    </w:p>
    <w:p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П. 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  <w:r/>
    </w:p>
    <w:p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  <w:r/>
    </w:p>
    <w:p>
      <w:pPr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За 2023 г. </w:t>
      </w:r>
      <w:r>
        <w:rPr>
          <w:color w:val="000000"/>
          <w:sz w:val="28"/>
          <w:highlight w:val="white"/>
        </w:rPr>
        <w:t xml:space="preserve">численность детей в возрасте от 1 до 6 лет, получающих </w:t>
      </w:r>
      <w:r>
        <w:rPr>
          <w:color w:val="000000"/>
          <w:sz w:val="28"/>
        </w:rPr>
        <w:t xml:space="preserve">дошкольное образование в образовательных </w:t>
      </w:r>
      <w:r>
        <w:rPr>
          <w:color w:val="000000"/>
          <w:sz w:val="28"/>
          <w:highlight w:val="white"/>
        </w:rPr>
        <w:t xml:space="preserve">учреждениях Усть-Коксинского района составила 985 воспитанников, по сравнению с </w:t>
      </w:r>
      <w:r>
        <w:rPr>
          <w:color w:val="000000"/>
          <w:sz w:val="28"/>
        </w:rPr>
        <w:t xml:space="preserve">2022 г. </w:t>
      </w:r>
      <w:r>
        <w:rPr>
          <w:color w:val="000000"/>
          <w:sz w:val="28"/>
          <w:highlight w:val="white"/>
        </w:rPr>
        <w:t xml:space="preserve">численность уменьшилась  на 65 </w:t>
      </w:r>
      <w:r>
        <w:rPr>
          <w:color w:val="000000"/>
          <w:sz w:val="28"/>
          <w:highlight w:val="white"/>
        </w:rPr>
        <w:t xml:space="preserve">детей. Причина падения числа воспитанников, получающих дошкольное образование, в данной возрастной категории  связана с увеличением размера платы за присмотр и уход детей в дошкольных организациях .   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Доля детей в возрасте 1 - 6 </w:t>
      </w:r>
      <w:r>
        <w:rPr>
          <w:color w:val="000000"/>
          <w:sz w:val="28"/>
        </w:rPr>
        <w:t xml:space="preserve">лет, получающих дошкольное образование, в муниципальных образовательных учреждениях в общей численности </w:t>
      </w:r>
      <w:r>
        <w:rPr>
          <w:color w:val="000000"/>
          <w:sz w:val="28"/>
          <w:highlight w:val="white"/>
        </w:rPr>
        <w:t xml:space="preserve">детей в возрасте 1- 6 лет </w:t>
      </w:r>
      <w:r>
        <w:rPr>
          <w:color w:val="000000"/>
          <w:sz w:val="28"/>
        </w:rPr>
        <w:t xml:space="preserve">в 2023 г. составила 74,017 %. В 2022 г. данный показатель составлял 76,642 %.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детей с ограниченными возможностями здоровья в обще</w:t>
      </w:r>
      <w:r>
        <w:rPr>
          <w:color w:val="000000"/>
          <w:sz w:val="28"/>
        </w:rPr>
        <w:t xml:space="preserve">й численности детей, посещающих </w:t>
      </w:r>
      <w:r>
        <w:rPr>
          <w:color w:val="000000"/>
          <w:sz w:val="28"/>
        </w:rPr>
        <w:t xml:space="preserve">муниципальные организации, осуществляющие образовательную деятельность по образовательным программам дошкольного образования, присмотр и уход за детьми, составила</w:t>
      </w:r>
      <w:r>
        <w:rPr>
          <w:color w:val="000000"/>
          <w:sz w:val="28"/>
        </w:rPr>
        <w:t xml:space="preserve"> 2,030%, в 2022 г.  - 1,904 %.  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детей-инвалидов в общей численности детей,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>
        <w:rPr>
          <w:color w:val="000000"/>
          <w:sz w:val="28"/>
        </w:rPr>
        <w:t xml:space="preserve">, составила 0,71 %, в 2022 г. - 0,66%. Увеличение доли детей с ОВЗ и детей с инвалидностью, охваченных дошкольным образованием, связано со снижением </w:t>
      </w:r>
      <w:r>
        <w:rPr>
          <w:color w:val="000000"/>
          <w:sz w:val="28"/>
        </w:rPr>
        <w:t xml:space="preserve">общего числа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</w:r>
      <w:r>
        <w:rPr>
          <w:color w:val="000000"/>
          <w:sz w:val="28"/>
        </w:rPr>
        <w:t xml:space="preserve">, фактическое число детей составляет   7 человек.</w:t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г. </w:t>
      </w:r>
      <w:r>
        <w:rPr>
          <w:color w:val="000000"/>
          <w:sz w:val="28"/>
          <w:highlight w:val="white"/>
        </w:rPr>
        <w:t xml:space="preserve">основная часть мероприятий, проводимых в системе дошкольного образования, была направлена на повышение доступности дошкольного образования.. </w:t>
      </w:r>
      <w:r/>
    </w:p>
    <w:p>
      <w:pPr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 </w:t>
      </w:r>
      <w:r/>
    </w:p>
    <w:p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П. 10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лет.</w:t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Доля детей в возрасте 1- 6 лет, состоящих на учете для определения в муниципальные дошкольные образовательные учреждения, в общей </w:t>
      </w:r>
      <w:r>
        <w:rPr>
          <w:color w:val="000000"/>
          <w:sz w:val="28"/>
        </w:rPr>
        <w:t xml:space="preserve">численности детей в возрасте 1- 6 лет по состоянию на 01.01.2023 г. составила 3,389 %, по сравнению с 01.01.2022 г. (9,489%) произошло уменьшение  на 6,1 процентных пункта. Количество детей возрасте 1 - 6 лет, состоящих </w:t>
      </w:r>
      <w:r>
        <w:rPr>
          <w:color w:val="000000"/>
          <w:sz w:val="28"/>
          <w:highlight w:val="white"/>
        </w:rPr>
        <w:t xml:space="preserve">на учете для определения в муниципальные дошкольные образовательные учреждения, составило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</w:rPr>
        <w:t xml:space="preserve">47 </w:t>
      </w:r>
      <w:r>
        <w:rPr>
          <w:color w:val="000000"/>
          <w:sz w:val="28"/>
          <w:highlight w:val="white"/>
        </w:rPr>
        <w:t xml:space="preserve">детей, по сравнению </w:t>
      </w:r>
      <w:r>
        <w:rPr>
          <w:color w:val="000000"/>
          <w:sz w:val="28"/>
        </w:rPr>
        <w:t xml:space="preserve">с 2022 </w:t>
      </w:r>
      <w:r>
        <w:rPr>
          <w:color w:val="000000"/>
          <w:sz w:val="28"/>
          <w:highlight w:val="white"/>
        </w:rPr>
        <w:t xml:space="preserve">годом численность уменьшилась на</w:t>
      </w:r>
      <w:r>
        <w:rPr>
          <w:color w:val="000000"/>
          <w:sz w:val="28"/>
        </w:rPr>
        <w:t xml:space="preserve"> 83 </w:t>
      </w:r>
      <w:r>
        <w:rPr>
          <w:color w:val="000000"/>
          <w:sz w:val="28"/>
          <w:highlight w:val="white"/>
        </w:rPr>
        <w:t xml:space="preserve">человека.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 Численность детей в возрасте 1 - 6 лет в муниципальном образовании за отчётный период составила</w:t>
      </w:r>
      <w:r>
        <w:rPr>
          <w:color w:val="000000"/>
          <w:sz w:val="28"/>
          <w:highlight w:val="none"/>
        </w:rPr>
        <w:t xml:space="preserve"> 1387</w:t>
      </w:r>
      <w:r>
        <w:rPr>
          <w:color w:val="000000"/>
          <w:sz w:val="28"/>
        </w:rPr>
        <w:t xml:space="preserve"> детей.</w:t>
      </w:r>
      <w:r>
        <w:rPr>
          <w:highlight w:val="white"/>
          <w:u w:val="single"/>
        </w:rPr>
      </w:r>
      <w:r/>
    </w:p>
    <w:p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            </w:t>
      </w:r>
      <w:r/>
    </w:p>
    <w:p>
      <w:pPr>
        <w:pStyle w:val="763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учреждений.</w:t>
      </w:r>
      <w:r/>
    </w:p>
    <w:p>
      <w:pPr>
        <w:ind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 </w:t>
      </w:r>
      <w:r>
        <w:rPr>
          <w:color w:val="000000"/>
          <w:sz w:val="28"/>
          <w:highlight w:val="white"/>
        </w:rPr>
        <w:t xml:space="preserve"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за </w:t>
      </w:r>
      <w:r>
        <w:rPr>
          <w:color w:val="000000"/>
          <w:sz w:val="28"/>
        </w:rPr>
        <w:t xml:space="preserve">2023 г. </w:t>
      </w:r>
      <w:r>
        <w:rPr>
          <w:color w:val="000000"/>
          <w:sz w:val="28"/>
          <w:highlight w:val="white"/>
        </w:rPr>
        <w:t xml:space="preserve">составила </w:t>
      </w:r>
      <w:r>
        <w:rPr>
          <w:color w:val="000000"/>
          <w:sz w:val="28"/>
          <w:highlight w:val="none"/>
        </w:rPr>
        <w:t xml:space="preserve">65,385</w:t>
      </w:r>
      <w:r>
        <w:rPr>
          <w:color w:val="000000"/>
          <w:sz w:val="28"/>
        </w:rPr>
        <w:t xml:space="preserve">%, </w:t>
      </w:r>
      <w:r>
        <w:rPr>
          <w:color w:val="000000"/>
          <w:sz w:val="28"/>
          <w:highlight w:val="white"/>
        </w:rPr>
        <w:t xml:space="preserve">по сравнению с </w:t>
      </w:r>
      <w:r>
        <w:rPr>
          <w:color w:val="000000"/>
          <w:sz w:val="28"/>
        </w:rPr>
        <w:t xml:space="preserve">2022 г. </w:t>
      </w:r>
      <w:r>
        <w:rPr>
          <w:color w:val="000000"/>
          <w:sz w:val="28"/>
          <w:highlight w:val="white"/>
        </w:rPr>
        <w:t xml:space="preserve">Показатель  изменился </w:t>
      </w:r>
      <w:r>
        <w:rPr>
          <w:color w:val="000000"/>
          <w:sz w:val="28"/>
        </w:rPr>
        <w:t xml:space="preserve">на 19,231 </w:t>
      </w:r>
      <w:r>
        <w:rPr>
          <w:color w:val="000000"/>
          <w:sz w:val="28"/>
          <w:highlight w:val="white"/>
        </w:rPr>
        <w:t xml:space="preserve">процентных пункта.</w:t>
      </w:r>
      <w:r>
        <w:rPr>
          <w:color w:val="000000"/>
          <w:sz w:val="28"/>
          <w:highlight w:val="none"/>
        </w:rPr>
        <w:t xml:space="preserve"> </w:t>
      </w:r>
      <w:r>
        <w:rPr>
          <w:color w:val="000000"/>
          <w:sz w:val="28"/>
          <w:highlight w:val="white"/>
        </w:rPr>
        <w:t xml:space="preserve">По итогам </w:t>
      </w:r>
      <w:r>
        <w:rPr>
          <w:color w:val="000000"/>
          <w:sz w:val="28"/>
        </w:rPr>
        <w:t xml:space="preserve">2023 года </w:t>
      </w:r>
      <w:r>
        <w:rPr>
          <w:color w:val="000000"/>
          <w:sz w:val="28"/>
          <w:highlight w:val="white"/>
        </w:rPr>
        <w:t xml:space="preserve">количество муниципальных дошкольных общеобразовательных организаций, здания которых находятся в аварийном состоянии или требуют капитального ремонта, </w:t>
      </w:r>
      <w:r>
        <w:rPr>
          <w:color w:val="000000"/>
          <w:sz w:val="28"/>
        </w:rPr>
        <w:t xml:space="preserve">составляет 17 </w:t>
      </w:r>
      <w:r>
        <w:rPr>
          <w:color w:val="000000"/>
          <w:sz w:val="28"/>
          <w:highlight w:val="white"/>
        </w:rPr>
        <w:t xml:space="preserve">организаций. В летний период проводился </w:t>
      </w:r>
      <w:r>
        <w:rPr>
          <w:color w:val="000000"/>
          <w:sz w:val="28"/>
        </w:rPr>
        <w:t xml:space="preserve">косметический ремонт во всех образовательных организациях муниципального образования. 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2023 году в МО «Усть-Коксинский райо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н» из 17 зданий, требующих капитального ремонта  в аварийном состоянии находятся 4 здания (техническое состояние этих зданий (физический износ зданий более 60%) оценивается категорией «недопустимое») находятся 2,35 % дошкольных образовательных организаций:</w:t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1) филиал детский сад «Дюймовочка» МБОУ «Карагайская ООШ» (1971 г. постройки), - согласно техпаспорта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по состоянию на 23 июля 2009г.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процент износа здания составлял 52% (ограждение – 32%)),»; 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2) филиал детский сад «Родничок» МБОУ «Тихоньская ООШ» согласно технического заключения № 06-05-18/Т находится в аварийном состоянии;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3) филиал детский сад «Огоньки» МБОУ «Мультинская СОШ», процент износа здания составляет  60%.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4) филиал детский сад «Солнышко» МБОУ «Талдинская СОШ» Заключение эксперта ФГУП «Ростехинвентаризация – Федеральное БТИ» № 071/071116 от 07.11.2016 г. «дальнейшая эксплуатация представляет опасность из-за большого физического износа здания и несоответствия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пожарным требованиям». Решением Усть-Коксинского районного суда Республики Алтай № 2-326/2021 вынесено решение о запрете эксплуатации здания детского сада, требуется строительство.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филиал детский сад «Колокольчик» МБОУ «Верх-Уймонская СОШ»;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6) филиал детский сад «Орешек» МБОУ «Верх-Уймонская СОШ»;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7) филиал детский сад «Улыбка» МБОУ «Амурская СОШ»;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8) филиал детский сад «Ромашка» МБОУ «Усть-Коксинская СОШ»;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9) филиал детский сад «Тополек» МБОУ «Усть-Коксинская СОШ» (старый корпус);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10) филиал детский сад «Веснянка» МБОУ «Тюгурюкская ООШ»;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11) филиал детский сад «Мурзилка» МБОУ «Юстикская ООШ»;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12) филиал детский сад «Березка» МБОУ «Кайтанакская ООШ». 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13) филиал детский сад «Белочка» МБОУ «Теректинская СОШ»;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14) филиал детский сад «Теремок» МБОУ «Абайская ООШ». 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15)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филиал детский сад «Колобок» МБОУ «Огневская СОШ»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16)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филиал детский сад «Колосок» МБОУ «Горбуновская ООШ»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17)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филиал детский сад «Хрусталек» МБОУ «Усть-Коксинская СОШ»</w:t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200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color w:val="000000"/>
          <w:sz w:val="28"/>
        </w:rPr>
        <w:t xml:space="preserve">В плановом периоде планируется проведение капитальных ремонтов в 6 зданиях дошкольных образовательных организаций, при условии выделения финансирования по Поручениям Главы Республики Алтай.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20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>
        <w:rPr>
          <w:color w:val="000000"/>
          <w:sz w:val="28"/>
        </w:rPr>
        <w:t xml:space="preserve">В плановом периоде работа по решению вопроса по обеспечению </w:t>
      </w:r>
      <w:r>
        <w:rPr>
          <w:color w:val="000000"/>
          <w:sz w:val="28"/>
        </w:rPr>
        <w:t xml:space="preserve">доступности дошкольного образования будет продолжена.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Общее и дополнительное образование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Система общего образования в муниципальном образовании представлена 24 общеобразовательными учреждениями (в том числе 10 </w:t>
      </w:r>
      <w:r>
        <w:rPr>
          <w:color w:val="000000"/>
          <w:sz w:val="28"/>
          <w:highlight w:val="white"/>
        </w:rPr>
        <w:t xml:space="preserve">средних, </w:t>
      </w:r>
      <w:r>
        <w:rPr>
          <w:color w:val="000000"/>
          <w:sz w:val="28"/>
        </w:rPr>
        <w:t xml:space="preserve">10 основных и </w:t>
      </w:r>
      <w:r>
        <w:rPr>
          <w:color w:val="000000"/>
          <w:sz w:val="28"/>
        </w:rPr>
        <w:t xml:space="preserve">4 начальных общеобразовательных учреждения). Число учреждений образования по отношению к 2022 году не изменилось и в плановом периоде изменений не планируется.</w:t>
      </w:r>
      <w:r/>
    </w:p>
    <w:p>
      <w:pPr>
        <w:ind w:firstLine="567"/>
        <w:jc w:val="both"/>
        <w:spacing w:line="253" w:lineRule="atLeast"/>
        <w:tabs>
          <w:tab w:val="left" w:pos="108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Набор детей в первый класс в 2023-2024 учебном году 294 человека, в 2022 - 2023 281 человек.</w:t>
      </w:r>
      <w:r/>
    </w:p>
    <w:p>
      <w:pPr>
        <w:ind w:firstLine="567"/>
        <w:jc w:val="both"/>
        <w:spacing w:line="253" w:lineRule="atLeast"/>
        <w:tabs>
          <w:tab w:val="left" w:pos="2694" w:leader="none"/>
        </w:tabs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Численность обучающихся на начало 2023-2024 учебного года 2887 человек, что больше прошлогоднего показателя на </w:t>
      </w:r>
      <w:r>
        <w:rPr>
          <w:color w:val="000000"/>
          <w:sz w:val="28"/>
        </w:rPr>
        <w:t xml:space="preserve">2 человека. </w:t>
      </w:r>
      <w:r/>
    </w:p>
    <w:p>
      <w:pPr>
        <w:ind w:firstLine="567"/>
        <w:jc w:val="both"/>
        <w:spacing w:line="253" w:lineRule="atLeast"/>
        <w:tabs>
          <w:tab w:val="left" w:pos="2694" w:leader="none"/>
        </w:tabs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Охват детей общим образованием</w:t>
      </w:r>
      <w:r>
        <w:rPr>
          <w:color w:val="000000"/>
          <w:sz w:val="28"/>
        </w:rPr>
        <w:t xml:space="preserve">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</w:t>
      </w:r>
      <w:r>
        <w:rPr>
          <w:color w:val="000000"/>
          <w:sz w:val="28"/>
        </w:rPr>
        <w:t xml:space="preserve"> составил 98,1 %, в 2022 г. - 98,0 %. </w:t>
      </w:r>
      <w:r/>
    </w:p>
    <w:p>
      <w:pPr>
        <w:ind w:firstLine="567"/>
        <w:jc w:val="both"/>
        <w:spacing w:line="253" w:lineRule="atLeast"/>
        <w:tabs>
          <w:tab w:val="left" w:pos="2694" w:leader="none"/>
        </w:tabs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 Доля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в 2023 – 2024 </w:t>
      </w:r>
      <w:r>
        <w:rPr>
          <w:color w:val="000000"/>
          <w:sz w:val="28"/>
        </w:rPr>
        <w:t xml:space="preserve">учебном году - 0.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детей с ограниченными возможностями здоровья в общей численности обучающихся, составила 8,6 % (250 человек), в 2022 г. - 8,9% (257 человек), изменения незначительные.  </w:t>
      </w:r>
      <w:r/>
    </w:p>
    <w:p>
      <w:pPr>
        <w:ind w:firstLine="567"/>
        <w:jc w:val="both"/>
        <w:spacing w:line="253" w:lineRule="atLeast"/>
        <w:tabs>
          <w:tab w:val="left" w:pos="2694" w:leader="none"/>
        </w:tabs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учителей в возрасте до 35 лет в общей численности учителей  на начало  2023 – 2024 учебного года составляла 4,8 % (16 человек) , в 2022 – 2023 учебном году - 6,4% (21 человек). </w:t>
      </w:r>
      <w:r>
        <w:rPr>
          <w:color w:val="000000"/>
          <w:sz w:val="28"/>
        </w:rPr>
        <w:t xml:space="preserve">Причина уменьшения количества молодых педагогов в общеобразовательных организациях связана  с нежеланием молодых специалистов работать в сельских школах.</w:t>
      </w:r>
      <w:r/>
    </w:p>
    <w:p>
      <w:pPr>
        <w:ind w:firstLine="567"/>
        <w:jc w:val="both"/>
        <w:spacing w:line="253" w:lineRule="atLeast"/>
        <w:tabs>
          <w:tab w:val="left" w:pos="269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2022-2023 учебном году выпуск 11 класса составил  68 человек.  </w:t>
      </w:r>
      <w:r/>
    </w:p>
    <w:p>
      <w:pPr>
        <w:ind w:firstLine="709"/>
        <w:jc w:val="both"/>
        <w:spacing w:line="253" w:lineRule="atLeast"/>
        <w:tabs>
          <w:tab w:val="left" w:pos="2694" w:leader="none"/>
        </w:tabs>
        <w:rPr>
          <w:rFonts w:ascii="Calibri" w:hAnsi="Calibri" w:eastAsia="Calibri"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Аттестат с отличи</w:t>
      </w:r>
      <w:r>
        <w:rPr>
          <w:color w:val="000000"/>
          <w:sz w:val="28"/>
        </w:rPr>
        <w:t xml:space="preserve">ем о среднем общем образовании и медаль</w:t>
      </w:r>
      <w:r>
        <w:rPr>
          <w:color w:val="000000"/>
          <w:sz w:val="28"/>
        </w:rPr>
        <w:t xml:space="preserve"> «За особые успехи в учении» получили  5 обучающихся.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выпускников муниципальных образовательных учреждений, не</w:t>
      </w:r>
      <w:r>
        <w:rPr>
          <w:color w:val="000000"/>
          <w:sz w:val="28"/>
        </w:rPr>
        <w:t xml:space="preserve"> получивших аттестат о среднем </w:t>
      </w:r>
      <w:r>
        <w:rPr>
          <w:color w:val="000000"/>
          <w:sz w:val="28"/>
        </w:rPr>
        <w:t xml:space="preserve">образовании, в общей численности выпускников муниципальных образовательных учреждени</w:t>
      </w:r>
      <w:r>
        <w:rPr>
          <w:color w:val="000000"/>
          <w:sz w:val="28"/>
        </w:rPr>
        <w:t xml:space="preserve">й за </w:t>
      </w:r>
      <w:r>
        <w:rPr>
          <w:color w:val="000000"/>
          <w:sz w:val="28"/>
        </w:rPr>
        <w:t xml:space="preserve">2022 - </w:t>
      </w:r>
      <w:r>
        <w:rPr>
          <w:color w:val="000000"/>
          <w:sz w:val="28"/>
        </w:rPr>
        <w:t xml:space="preserve">2023 </w:t>
      </w:r>
      <w:r>
        <w:rPr>
          <w:color w:val="000000"/>
          <w:sz w:val="28"/>
        </w:rPr>
        <w:t xml:space="preserve">учебный год</w:t>
      </w:r>
      <w:r>
        <w:rPr>
          <w:color w:val="000000"/>
          <w:sz w:val="28"/>
        </w:rPr>
        <w:t xml:space="preserve"> составляет 1,4 %.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году 1 выпускник не получил аттестат о среднем общем образовании. В 2022 г. аналогичный показатель также составлял  4,8 %. 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целях улучшения достигнутого показателя по общеобразовательным учреждениям района продолжается ведение систематической работы по повышению качества образования: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организация адресной поддержки школ с низкими образовательными результатами;</w:t>
      </w:r>
      <w:r/>
    </w:p>
    <w:p>
      <w:pPr>
        <w:ind w:firstLine="851"/>
        <w:jc w:val="both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проведение </w:t>
      </w:r>
      <w:r>
        <w:rPr>
          <w:color w:val="000000"/>
          <w:sz w:val="28"/>
        </w:rPr>
        <w:t xml:space="preserve">курсов повышения квалификации, обучающих мероприятий,</w:t>
      </w:r>
      <w:r>
        <w:rPr>
          <w:color w:val="000000"/>
          <w:sz w:val="28"/>
        </w:rPr>
        <w:t xml:space="preserve"> семинаров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круглых столов с педагогическими работниками по вопросам </w:t>
      </w:r>
      <w:r>
        <w:rPr>
          <w:color w:val="000000"/>
          <w:sz w:val="28"/>
        </w:rPr>
        <w:t xml:space="preserve">подготовки к государственной </w:t>
      </w:r>
      <w:r>
        <w:rPr>
          <w:color w:val="000000"/>
          <w:sz w:val="28"/>
        </w:rPr>
        <w:t xml:space="preserve">итоговой аттестации в форме ЕГЭ и ГВЭ;</w:t>
      </w:r>
      <w:r/>
    </w:p>
    <w:p>
      <w:pPr>
        <w:ind w:firstLine="851"/>
        <w:jc w:val="both"/>
        <w:tabs>
          <w:tab w:val="left" w:pos="993" w:leader="none"/>
        </w:tabs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организация адресной методической поддержки молодых учителей, педагогов со стабильно низкими результатами;</w:t>
      </w:r>
      <w:r/>
    </w:p>
    <w:p>
      <w:pPr>
        <w:ind w:firstLine="851"/>
        <w:jc w:val="both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проведение </w:t>
      </w:r>
      <w:r>
        <w:rPr>
          <w:color w:val="000000"/>
          <w:sz w:val="28"/>
        </w:rPr>
        <w:t xml:space="preserve">мотивационно-информационной работы с участниками образовательного процесса (педагогами, родителями/законными представителями, обучающимися)</w:t>
      </w:r>
      <w:r>
        <w:rPr>
          <w:color w:val="000000"/>
          <w:sz w:val="28"/>
        </w:rPr>
        <w:t xml:space="preserve">;</w:t>
      </w:r>
      <w:r/>
    </w:p>
    <w:p>
      <w:pPr>
        <w:ind w:firstLine="851"/>
        <w:jc w:val="both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проведение контрольных мероприятий в форме мониторинга по оценке качества образования обучающихся на разных уровнях образования. </w:t>
      </w:r>
      <w:r/>
    </w:p>
    <w:p>
      <w:pPr>
        <w:ind w:left="-142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/>
    </w:p>
    <w:p>
      <w:pPr>
        <w:ind w:left="-142" w:firstLine="709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</w:rPr>
        <w:t xml:space="preserve">П. 13 Доля муниципальных общеобразовательных учреждений</w:t>
      </w:r>
      <w:r>
        <w:rPr>
          <w:b/>
          <w:sz w:val="26"/>
          <w:szCs w:val="26"/>
          <w:highlight w:val="white"/>
        </w:rPr>
        <w:t xml:space="preserve">, соответствующих современным требованиям обучения, в общем количестве муниципальных общеобразовательных учреждений.</w:t>
      </w:r>
      <w:r/>
    </w:p>
    <w:p>
      <w:pPr>
        <w:ind w:left="0" w:right="0" w:firstLine="708"/>
        <w:jc w:val="both"/>
        <w:spacing w:before="0" w:after="0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</w:t>
      </w:r>
      <w:r>
        <w:rPr>
          <w:color w:val="000000"/>
          <w:sz w:val="28"/>
          <w:highlight w:val="white"/>
        </w:rPr>
        <w:t xml:space="preserve">тветствие современным требованиям</w:t>
      </w:r>
      <w:r>
        <w:rPr>
          <w:color w:val="000000"/>
          <w:sz w:val="28"/>
          <w:highlight w:val="white"/>
        </w:rPr>
        <w:t xml:space="preserve">. </w:t>
      </w:r>
      <w:r>
        <w:rPr>
          <w:color w:val="000000"/>
          <w:sz w:val="28"/>
        </w:rPr>
        <w:t xml:space="preserve">Доля муниципальных общеобразовательных учреждений, соответствующих современным требованиям обучения</w:t>
      </w:r>
      <w:r>
        <w:rPr>
          <w:color w:val="000000"/>
          <w:sz w:val="28"/>
        </w:rPr>
        <w:t xml:space="preserve">,</w:t>
      </w:r>
      <w:r>
        <w:rPr>
          <w:color w:val="000000"/>
          <w:sz w:val="28"/>
        </w:rPr>
        <w:t xml:space="preserve"> в общем количестве муниципальных </w:t>
      </w:r>
      <w:r>
        <w:rPr>
          <w:color w:val="000000"/>
          <w:sz w:val="28"/>
        </w:rPr>
        <w:t xml:space="preserve">общеобразовательных учреждений, составляет в 2023 г.</w:t>
      </w:r>
      <w:r>
        <w:rPr>
          <w:color w:val="000000"/>
          <w:sz w:val="28"/>
        </w:rPr>
        <w:t xml:space="preserve"> 85 %. Из имеющихся в районе 20 общеобразовательных учреждений 17  учреждений соответствуют современным требованиям обучения.  В целях увеличения количества общеобразовательных организаций, соответствующих современным требованиям</w:t>
      </w:r>
      <w:r>
        <w:rPr>
          <w:color w:val="000000"/>
          <w:sz w:val="28"/>
        </w:rPr>
        <w:t xml:space="preserve">, в 2023 году</w:t>
      </w:r>
      <w:r>
        <w:rPr>
          <w:color w:val="000000"/>
          <w:sz w:val="28"/>
        </w:rPr>
        <w:t xml:space="preserve"> проведен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капитальный ремонт МБОУ «Тюгурюкская ООШ», МБОУ «Горбуновская ООШ», МБОУ «Тюнгурская ООШ», </w:t>
      </w:r>
      <w:r>
        <w:rPr>
          <w:color w:val="000000"/>
          <w:sz w:val="28"/>
          <w:szCs w:val="28"/>
        </w:rPr>
        <w:t xml:space="preserve"> в 2024 году проводится капитальный ремонт МБОУ «Тихоньская ООШ».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before="0" w:after="0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763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отчетном периоде составляет </w:t>
      </w:r>
      <w:r>
        <w:rPr>
          <w:color w:val="000000"/>
          <w:sz w:val="28"/>
        </w:rPr>
        <w:t xml:space="preserve">45% (20 </w:t>
      </w:r>
      <w:r>
        <w:rPr>
          <w:color w:val="000000"/>
          <w:sz w:val="28"/>
        </w:rPr>
        <w:t xml:space="preserve">обра</w:t>
      </w:r>
      <w:r>
        <w:rPr>
          <w:color w:val="000000"/>
          <w:sz w:val="28"/>
        </w:rPr>
        <w:t xml:space="preserve">зовательных организаций). В 2022</w:t>
      </w:r>
      <w:r>
        <w:rPr>
          <w:color w:val="000000"/>
          <w:sz w:val="28"/>
        </w:rPr>
        <w:t xml:space="preserve"> году данный показатель  был равен 60 % (12 образовательных организаций). </w:t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По итогам 2023 г. </w:t>
      </w:r>
      <w:r>
        <w:rPr>
          <w:color w:val="000000"/>
          <w:sz w:val="28"/>
          <w:highlight w:val="none"/>
        </w:rPr>
        <w:t xml:space="preserve">требуют капитального ремонта следующие общеобразовательные учреждения:</w:t>
      </w:r>
      <w:r>
        <w:rPr>
          <w:color w:val="000000"/>
          <w:sz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1)</w:t>
      </w:r>
      <w:r>
        <w:rPr>
          <w:color w:val="000000"/>
          <w:sz w:val="28"/>
          <w:highlight w:val="none"/>
        </w:rPr>
        <w:t xml:space="preserve">МБОУ</w:t>
      </w:r>
      <w:r>
        <w:rPr>
          <w:color w:val="000000"/>
          <w:sz w:val="28"/>
          <w:highlight w:val="none"/>
        </w:rPr>
        <w:t xml:space="preserve"> «Огневская СОШ»,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2)МБОУ «Юстикская ООШ»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3)МБОУ «Карагайская ООШ»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4)МБОУ «Усть-Коксинская СОШ» (здание начальной школы)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5)МБОУ «Банновская ООШ»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6)МБОУ  «Катандинская СОШ»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7)МБОУ «Талдинская СОШ»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8)МБОУ «Чендексая СОШ»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tabs>
          <w:tab w:val="left" w:pos="993" w:leader="none"/>
        </w:tabs>
        <w:rPr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9) МБОУ «Тихоньская ООШ» (в 2024 году капитальный ремонт начат)</w:t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spacing w:line="65" w:lineRule="atLeast"/>
        <w:tabs>
          <w:tab w:val="left" w:pos="993" w:leader="none"/>
        </w:tabs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В рамках подготовки к новому </w:t>
      </w:r>
      <w:r>
        <w:rPr>
          <w:color w:val="000000"/>
          <w:sz w:val="28"/>
        </w:rPr>
        <w:t xml:space="preserve">2023-2024 </w:t>
      </w:r>
      <w:r>
        <w:rPr>
          <w:color w:val="000000"/>
          <w:sz w:val="28"/>
          <w:highlight w:val="white"/>
        </w:rPr>
        <w:t xml:space="preserve">учебному год</w:t>
      </w:r>
      <w:r>
        <w:rPr>
          <w:color w:val="000000"/>
          <w:sz w:val="28"/>
          <w:highlight w:val="white"/>
        </w:rPr>
        <w:t xml:space="preserve">у в образовательных организациях района проведены мероприятия, направленные на устранение нарушений надзорных органов, улучшение санитарно-технического состояния зданий, укрепление материально-технической базы, антитеррористические мероприятия, медосмотры.</w:t>
      </w:r>
      <w:r/>
    </w:p>
    <w:p>
      <w:pPr>
        <w:ind w:firstLine="708"/>
        <w:jc w:val="both"/>
        <w:rPr>
          <w:sz w:val="26"/>
          <w:szCs w:val="26"/>
          <w:highlight w:val="red"/>
        </w:rPr>
      </w:pPr>
      <w:r>
        <w:rPr>
          <w:sz w:val="26"/>
          <w:szCs w:val="26"/>
          <w:highlight w:val="red"/>
        </w:rPr>
      </w:r>
      <w:r/>
    </w:p>
    <w:p>
      <w:pPr>
        <w:ind w:firstLine="567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П. 15 Доля детей первой и второй групп здоровья в общей численности обучающихся в муниципальных общеобразовательных учреждениях.</w:t>
      </w:r>
      <w:r/>
    </w:p>
    <w:p>
      <w:pPr>
        <w:ind w:firstLine="709"/>
        <w:jc w:val="both"/>
        <w:rPr>
          <w:highlight w:val="red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Доля детей первой и второй групп здоровья в общей численности, обучающихся в муниципальных общеобразовательных учреждениях за отчетный год составила</w:t>
      </w:r>
      <w:r>
        <w:rPr>
          <w:color w:val="000000"/>
          <w:sz w:val="28"/>
          <w:highlight w:val="none"/>
        </w:rPr>
        <w:t xml:space="preserve"> </w:t>
      </w:r>
      <w:r>
        <w:rPr>
          <w:color w:val="000000"/>
          <w:sz w:val="28"/>
          <w:highlight w:val="none"/>
        </w:rPr>
        <w:t xml:space="preserve">85,69</w:t>
      </w:r>
      <w:r>
        <w:rPr>
          <w:color w:val="000000"/>
          <w:sz w:val="28"/>
        </w:rPr>
        <w:t xml:space="preserve"> %, </w:t>
      </w:r>
      <w:r>
        <w:rPr>
          <w:color w:val="000000"/>
          <w:sz w:val="28"/>
          <w:highlight w:val="white"/>
        </w:rPr>
        <w:t xml:space="preserve">по сравнению </w:t>
      </w:r>
      <w:r>
        <w:rPr>
          <w:color w:val="000000"/>
          <w:sz w:val="28"/>
        </w:rPr>
        <w:t xml:space="preserve">с 2022 г. доля уменьшилась на </w:t>
      </w:r>
      <w:r>
        <w:rPr>
          <w:color w:val="000000"/>
          <w:sz w:val="28"/>
        </w:rPr>
        <w:t xml:space="preserve">0,64 процентных пункта.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Численность детей первой и второй групп здоровья, обучающихся в муниципальных общеобразовательных учреждениях, составляет </w:t>
      </w:r>
      <w:r>
        <w:rPr>
          <w:color w:val="000000"/>
          <w:sz w:val="28"/>
        </w:rPr>
        <w:t xml:space="preserve">2546 </w:t>
      </w:r>
      <w:r>
        <w:rPr>
          <w:color w:val="000000"/>
          <w:sz w:val="28"/>
          <w:highlight w:val="white"/>
        </w:rPr>
        <w:t xml:space="preserve">ребенка, что на 411 </w:t>
      </w:r>
      <w:r>
        <w:rPr>
          <w:color w:val="000000"/>
          <w:sz w:val="28"/>
          <w:highlight w:val="none"/>
        </w:rPr>
        <w:t xml:space="preserve">детей</w:t>
      </w:r>
      <w:r>
        <w:rPr>
          <w:color w:val="000000"/>
          <w:sz w:val="28"/>
        </w:rPr>
        <w:t xml:space="preserve"> больше, чем в 2022 г.</w:t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/>
    </w:p>
    <w:p>
      <w:pPr>
        <w:ind w:firstLine="567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  <w:r/>
    </w:p>
    <w:p>
      <w:pPr>
        <w:ind w:firstLine="709"/>
        <w:jc w:val="both"/>
        <w:rPr>
          <w:highlight w:val="red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</w:t>
      </w:r>
      <w:r>
        <w:rPr>
          <w:color w:val="000000"/>
          <w:sz w:val="28"/>
        </w:rPr>
        <w:t xml:space="preserve">в 2023 г. составила 22,6 % (654 человека), по сравнению с 2022 г. (695 детей) показатель уменьшился на</w:t>
      </w:r>
      <w:r>
        <w:rPr>
          <w:color w:val="000000"/>
          <w:sz w:val="28"/>
        </w:rPr>
        <w:t xml:space="preserve"> 1,5 процентных пункта, за счет увеличения численности детей, обучающихся в муниципальных общеобразовательных учреждениях на 5 детей</w:t>
      </w:r>
      <w:r>
        <w:rPr>
          <w:color w:val="000000"/>
          <w:sz w:val="28"/>
        </w:rPr>
        <w:t xml:space="preserve"> (в 2022  г. - 2882 </w:t>
      </w:r>
      <w:r>
        <w:rPr>
          <w:color w:val="000000"/>
          <w:sz w:val="28"/>
        </w:rPr>
        <w:t xml:space="preserve">чел., в 2023 г.  - 2887 </w:t>
      </w:r>
      <w:r>
        <w:rPr>
          <w:color w:val="000000"/>
          <w:sz w:val="28"/>
        </w:rPr>
        <w:t xml:space="preserve">обучающихся), а также с проведением капитальных ремонтов 3 школ  (Тюгурюкской, Горбуновской и Тюнгурской), что позволило перевести несколько классов на обучение в 1 смену.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К мерам, позволяющим уменьшить количество обучающихся во вторую смену, можно отнести проведение капитального ремонта общеобразовательной организации в с.Тихонькая. </w:t>
      </w:r>
      <w:r/>
    </w:p>
    <w:p>
      <w:pPr>
        <w:ind w:firstLine="567"/>
        <w:jc w:val="both"/>
        <w:rPr>
          <w:b/>
          <w:sz w:val="26"/>
          <w:szCs w:val="26"/>
          <w:highlight w:val="red"/>
        </w:rPr>
      </w:pPr>
      <w:r>
        <w:rPr>
          <w:b/>
          <w:sz w:val="26"/>
          <w:szCs w:val="26"/>
          <w:highlight w:val="red"/>
        </w:rPr>
      </w:r>
      <w:r/>
    </w:p>
    <w:p>
      <w:pPr>
        <w:ind w:firstLine="567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П. 17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  <w:r/>
    </w:p>
    <w:p>
      <w:pPr>
        <w:ind w:firstLine="567"/>
        <w:jc w:val="both"/>
        <w:rPr>
          <w:b/>
          <w:sz w:val="26"/>
          <w:szCs w:val="26"/>
          <w:highlight w:val="cyan"/>
        </w:rPr>
      </w:pPr>
      <w:r>
        <w:rPr>
          <w:b/>
          <w:sz w:val="26"/>
          <w:szCs w:val="26"/>
          <w:highlight w:val="cyan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Объем бюджетных расходов муниципального образования «</w:t>
      </w:r>
      <w:r>
        <w:rPr>
          <w:color w:val="000000"/>
          <w:sz w:val="28"/>
        </w:rPr>
        <w:t xml:space="preserve">Усть-Коксинский район» на общее образование в 2023 г. составил </w:t>
      </w:r>
      <w:r>
        <w:rPr>
          <w:color w:val="000000"/>
          <w:sz w:val="28"/>
        </w:rPr>
        <w:t xml:space="preserve">162975,9</w:t>
      </w:r>
      <w:r>
        <w:rPr>
          <w:color w:val="000000"/>
          <w:sz w:val="28"/>
        </w:rPr>
        <w:t xml:space="preserve"> тыс. руб. В расчете на 1 обучающегося расходы бюджета составили в 2023 г. 57,22 тыс. руб.</w:t>
      </w:r>
      <w:r>
        <w:rPr>
          <w:color w:val="000000"/>
          <w:sz w:val="28"/>
        </w:rPr>
        <w:t xml:space="preserve">, в 2022 г. 61,68 тыс. руб.</w:t>
      </w:r>
      <w:r>
        <w:rPr>
          <w:color w:val="000000"/>
          <w:sz w:val="28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  <w:r/>
    </w:p>
    <w:p>
      <w:pPr>
        <w:ind w:firstLine="567"/>
        <w:jc w:val="both"/>
        <w:spacing w:line="253" w:lineRule="atLeast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В МО «Усть-Коксинский район» в </w:t>
      </w:r>
      <w:r>
        <w:rPr>
          <w:color w:val="000000"/>
          <w:sz w:val="28"/>
        </w:rPr>
        <w:t xml:space="preserve">2023 году осуществляли свою деятельность 5 </w:t>
      </w:r>
      <w:r>
        <w:rPr>
          <w:color w:val="000000"/>
          <w:sz w:val="28"/>
        </w:rPr>
        <w:t xml:space="preserve">организации дополнительного образования</w:t>
      </w:r>
      <w:r>
        <w:rPr>
          <w:color w:val="000000"/>
          <w:sz w:val="28"/>
        </w:rPr>
        <w:t xml:space="preserve">: МБУДО «Дом детского творчества», МБУДО «У</w:t>
      </w:r>
      <w:r>
        <w:rPr>
          <w:color w:val="000000"/>
          <w:sz w:val="28"/>
        </w:rPr>
        <w:t xml:space="preserve">сть-Коксинская спортивная школа», МБУДО «Детский социально-оздоровительный лагерь «Беловодье», МБУ ДО «Усть-Коксинская детская школа исскуств», МБУ ДО «Чендекская детская школа исскуств»    - 3008 воспитанников в 2023 году, 2990 воспитанников в 2022 году. </w:t>
      </w:r>
      <w:r/>
    </w:p>
    <w:p>
      <w:pPr>
        <w:ind w:firstLine="567"/>
        <w:jc w:val="both"/>
        <w:spacing w:line="253" w:lineRule="atLeast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Министерством образования и науки Республики Алтай в </w:t>
      </w:r>
      <w:r>
        <w:rPr>
          <w:color w:val="000000"/>
          <w:sz w:val="28"/>
        </w:rPr>
        <w:t xml:space="preserve">2023 году </w:t>
      </w:r>
      <w:r>
        <w:rPr>
          <w:color w:val="000000"/>
          <w:sz w:val="28"/>
          <w:highlight w:val="none"/>
        </w:rPr>
        <w:t xml:space="preserve">Усть-Коксинскому </w:t>
      </w:r>
      <w:r>
        <w:rPr>
          <w:color w:val="000000"/>
          <w:sz w:val="28"/>
          <w:highlight w:val="white"/>
        </w:rPr>
        <w:t xml:space="preserve">району был установлен плановый показатель охвата детей дополнительным образованием </w:t>
      </w:r>
      <w:r>
        <w:rPr>
          <w:color w:val="000000"/>
          <w:sz w:val="28"/>
        </w:rPr>
        <w:t xml:space="preserve">- 2950 детей, показатель достигнут.</w:t>
      </w:r>
      <w:r/>
    </w:p>
    <w:p>
      <w:pPr>
        <w:ind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 </w:t>
      </w:r>
      <w:r>
        <w:rPr>
          <w:color w:val="000000"/>
          <w:sz w:val="28"/>
        </w:rPr>
        <w:t xml:space="preserve">за 2023 г. составляет 80,82 %. </w:t>
      </w:r>
      <w:r>
        <w:rPr>
          <w:b/>
          <w:color w:val="000000"/>
          <w:sz w:val="28"/>
        </w:rPr>
        <w:t xml:space="preserve">  </w:t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2024 г. </w:t>
      </w:r>
      <w:r>
        <w:rPr>
          <w:color w:val="000000"/>
          <w:sz w:val="28"/>
          <w:highlight w:val="white"/>
        </w:rPr>
        <w:t xml:space="preserve">будет продолжено сетевое взаимодействие с дошкольными и общеобразовательными учреждениями МО «Усть-Коксинский район» по дополнительным общеобразовательным программам.</w:t>
      </w:r>
      <w:r/>
    </w:p>
    <w:p>
      <w:pPr>
        <w:pStyle w:val="764"/>
        <w:jc w:val="center"/>
      </w:pPr>
      <w:r>
        <w:rPr>
          <w:rFonts w:ascii="Times New Roman" w:hAnsi="Times New Roman"/>
          <w:b/>
          <w:sz w:val="26"/>
          <w:szCs w:val="26"/>
          <w:highlight w:val="none"/>
        </w:rPr>
      </w:r>
      <w:r>
        <w:rPr>
          <w:rFonts w:ascii="Times New Roman" w:hAnsi="Times New Roman"/>
          <w:b/>
          <w:sz w:val="26"/>
          <w:szCs w:val="26"/>
          <w:highlight w:val="none"/>
        </w:rPr>
      </w:r>
      <w:r/>
    </w:p>
    <w:p>
      <w:pPr>
        <w:pStyle w:val="764"/>
        <w:jc w:val="center"/>
        <w:rPr>
          <w:rFonts w:ascii="Times New Roman" w:hAnsi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b/>
          <w:sz w:val="26"/>
          <w:szCs w:val="26"/>
        </w:rPr>
        <w:t xml:space="preserve">. Культура</w:t>
      </w:r>
      <w:r/>
    </w:p>
    <w:p>
      <w:pPr>
        <w:pStyle w:val="76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8"/>
        </w:rPr>
        <w:t xml:space="preserve">П. 19 Уровень фактической обеспеченности учреждениями культуры в городском округе (муниципальном районе) от нормативной потребности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Уровень фактической обеспеченности учреждениями культуры в МО «Усть-Коксинский район» рассчитан в соответствии со статистическими данными за 2023 г.: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клубами и учреждениями клубного типа в отчетном 2023 г. составил – 96,43 %. Показатель остался без изменений по соотношению к </w:t>
      </w:r>
      <w:r>
        <w:rPr>
          <w:color w:val="000000"/>
          <w:sz w:val="28"/>
        </w:rPr>
        <w:t xml:space="preserve">предыдущему 2022 г.  за счет отсутсвия изменений фактического наличия зрительских мест в клубах и учреждениях клубного типа.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Фактическое наличие зрительских мест в 2023 г. составило 2070 ед., количество не изменилось</w:t>
      </w:r>
      <w:r>
        <w:rPr>
          <w:color w:val="000000"/>
          <w:sz w:val="28"/>
        </w:rPr>
        <w:t xml:space="preserve">.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Уровень фактической обеспеченности учреждениями культуры в МО «Усть-Коксинский район» от нормативной потребности библиотеками в отчетном 2023 г. по соотношению к предыдущему 2022г.  составил - 86,36 %: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Нормативная потребность в библиотеках –</w:t>
      </w:r>
      <w:r>
        <w:rPr>
          <w:color w:val="000000"/>
          <w:sz w:val="28"/>
        </w:rPr>
        <w:t xml:space="preserve">22, фактическое количество –19, отсутствуют библиотеки в с. Баштала, с.Банное, с.Юстик.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 Нормативное значение в парках культуры и отдыха отсутствует.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т.к. парки культуры и отдыха отсутствуют</w:t>
      </w:r>
      <w:r>
        <w:rPr>
          <w:sz w:val="28"/>
          <w:szCs w:val="28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rPr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8"/>
        </w:rPr>
        <w:t xml:space="preserve">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муниципальных учреждений ку</w:t>
      </w:r>
      <w:r>
        <w:rPr>
          <w:color w:val="000000"/>
          <w:sz w:val="28"/>
        </w:rPr>
        <w:t xml:space="preserve">льтуры, здания которых находятся в аварийном состоянии или требуют капитального ремонта, в общем количестве муниципальных учреждений культуры в 2023 г. составила 40,43 %, по соотношению к предыдущему 2022 г. показатель не изменился.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Количество муниципальных учреждений культуры, здания которых находятся в аварийном состоянии или требуют капитального ремонта в 2023 г. составило – 19ед., по соотношению к предыдущему 2022 г. показатель не изменился.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 </w:t>
      </w:r>
      <w:r/>
    </w:p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Наименование учреждения культуры, требующие капитального ремонта 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Требуемые работы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Талда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капитальный ремонт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Сугаш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капитальное строительство (начало 2022 г)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Абай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Мараловодка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Горбуново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Теректа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Гагарка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Банное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Баштала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Дом творчества и досуга в селе Усть-Кокса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Березовка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капитальное строительство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Верх-Уймон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капитальное строительство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Огневка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капитальное строительство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Мульта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Тихонькая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Тюнгур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СК в селе Кучерла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капитальный ремонт</w:t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Style w:val="778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2"/>
        <w:gridCol w:w="5561"/>
      </w:tblGrid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2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СДК в селе Карагай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1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капитальное строительство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Общее количество муниципальных учреждений культуры (подразделений) в отчетном году - 47 ед. по соотношению к предыдущему 2022 г. показатель не изменился. 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8"/>
        </w:rPr>
        <w:t xml:space="preserve"> </w:t>
      </w:r>
      <w:r/>
    </w:p>
    <w:p>
      <w:pPr>
        <w:ind w:firstLine="567"/>
        <w:jc w:val="both"/>
        <w:rPr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8"/>
        </w:rPr>
        <w:t xml:space="preserve"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  <w:r/>
    </w:p>
    <w:p>
      <w:pPr>
        <w:ind w:firstLine="708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2022-2023 гг. на территории муниципального образования «</w:t>
      </w:r>
      <w:r>
        <w:rPr>
          <w:color w:val="000000"/>
          <w:sz w:val="28"/>
        </w:rPr>
        <w:t xml:space="preserve">Усть-Коксинский район» 26 объектов культурного наследия, находящиеся в муниципальной собственности и требующие реставрации (бесхозяйные объекты имущества).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собственности оформлено на 3 земельных участка, расположенных в границах объекта культурного наследия, на объекты культурного наследия права собственности не оформлены, в связи с тем, что объекты не являются недвижимым имуществом, объекты состоят в р</w:t>
      </w:r>
      <w:r>
        <w:rPr>
          <w:sz w:val="28"/>
          <w:szCs w:val="28"/>
        </w:rPr>
        <w:t xml:space="preserve">еестре муниципального имущества как движимое имущество.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numPr>
          <w:ilvl w:val="0"/>
          <w:numId w:val="3"/>
        </w:num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Физическая культура и спорт</w:t>
      </w:r>
      <w:r/>
    </w:p>
    <w:p>
      <w:pPr>
        <w:ind w:firstLine="567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П. 22 Доля населения, систематически занимающегося физической культурой и спортом.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Общая численность систематически занимающихся физической культурой и спортом вУсть-Коксинском районе в 2023г. составляет 8389 чел., по сравнению с 2022 г. произошло </w:t>
      </w:r>
      <w:r>
        <w:rPr>
          <w:color w:val="000000"/>
          <w:sz w:val="28"/>
          <w:u w:val="single"/>
        </w:rPr>
        <w:t xml:space="preserve">увеличение</w:t>
      </w:r>
      <w:r>
        <w:rPr>
          <w:color w:val="000000"/>
          <w:sz w:val="28"/>
        </w:rPr>
        <w:t xml:space="preserve"> на 41 чел.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Доля населения, систематически занимающегося физической культурой и спортом в 2023 г. составляет 56,52 % от среднегодовой численности постоянного населения (1 чел.), по сравнению с прошлым отчетным периодом произошел рост на </w:t>
      </w:r>
      <w:r>
        <w:rPr>
          <w:color w:val="000000"/>
          <w:sz w:val="28"/>
        </w:rPr>
        <w:t xml:space="preserve">0,82 процентных пункта</w:t>
      </w:r>
      <w:r>
        <w:rPr>
          <w:b/>
          <w:color w:val="000000"/>
          <w:sz w:val="28"/>
        </w:rPr>
        <w:t xml:space="preserve">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Всего за 2023 год проведено и принято участие в 66 физкультурных и спортивно-массовых мероприятиях. Из этого числа 34 мероприятия проведено,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32 мероприятиях принято участие. Из 34 проведенных мероприятия, организованно </w:t>
      </w:r>
      <w:r>
        <w:rPr>
          <w:color w:val="000000"/>
          <w:sz w:val="28"/>
        </w:rPr>
        <w:t xml:space="preserve">31 районное и </w:t>
      </w:r>
      <w:r>
        <w:rPr>
          <w:color w:val="000000"/>
          <w:sz w:val="28"/>
        </w:rPr>
        <w:t xml:space="preserve">3 республиканских.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 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26"/>
        </w:rPr>
        <w:t xml:space="preserve">П. 23. Доля обучающихся, систематически занимающихся физической культурой и спортом, в общей численности обучающихся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году доля обучающихся, систематически занимающихся физической культурой и спортом, в общей численности обучающихся (в общеобразовательных </w:t>
      </w:r>
      <w:r>
        <w:rPr>
          <w:color w:val="000000"/>
          <w:sz w:val="28"/>
        </w:rPr>
        <w:t xml:space="preserve">организациях и организациях среднего, высшего образования) составила 98,21% (4273чел.). В данный показатель включена численность систематически занимающихся физической культурой и спортом в общеобразовательных учреждениях, в том числе в спортивных клубах (</w:t>
      </w:r>
      <w:r>
        <w:rPr>
          <w:color w:val="000000"/>
          <w:sz w:val="28"/>
        </w:rPr>
        <w:t xml:space="preserve">934чел.), в организациях дополнительного образования детей (</w:t>
      </w:r>
      <w:r>
        <w:rPr>
          <w:color w:val="000000"/>
          <w:sz w:val="28"/>
        </w:rPr>
        <w:t xml:space="preserve">476чел.), а также организаций среднего образования (2863чел.) на территории Усть-Коксинского района.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Всего за 2023 год проведено и принято участие в 75 физкультурных и спортивно-массовых мероприятиях. Из этого числа 40 мероприятий проведено, в 35 мероприятиях принято участие.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</w:rPr>
        <w:t xml:space="preserve"> </w:t>
      </w:r>
      <w:r/>
    </w:p>
    <w:p>
      <w:pPr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Жилищное строительство и обеспечение граждан жильем</w:t>
      </w:r>
      <w:r/>
    </w:p>
    <w:p>
      <w:pPr>
        <w:ind w:left="128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П.24 Общая площадь жилых помещений, приходящаяся в среднем на одного жителя-всего.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Общая площадь жилых помещений, приходящаяся на одного жителя по состоянию на 01.01.2024 г. составляет 22,27 кв.м., что выше по сравнению с 2022 г. на </w:t>
      </w:r>
      <w:r>
        <w:rPr>
          <w:color w:val="000000"/>
          <w:sz w:val="28"/>
        </w:rPr>
        <w:t xml:space="preserve">3,37 %.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муниципальном образовании «Усть-Коксинский район» за 2023 г. введено общей площади жилых помещений 10979 кв. м (за 2022 г. было введено 9008</w:t>
      </w:r>
      <w:r>
        <w:rPr>
          <w:color w:val="000000"/>
          <w:sz w:val="28"/>
        </w:rPr>
        <w:t xml:space="preserve"> кв.м).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Площадь жилищного фонда за 2023 г. составила 348,15 тыс. кв. м, </w:t>
      </w:r>
      <w:r>
        <w:rPr>
          <w:color w:val="000000"/>
          <w:sz w:val="28"/>
        </w:rPr>
        <w:t xml:space="preserve">по сравн</w:t>
      </w:r>
      <w:r>
        <w:rPr>
          <w:color w:val="000000"/>
          <w:sz w:val="28"/>
        </w:rPr>
        <w:t xml:space="preserve">ению с 2022 г. произошло увеличение на 10,44 тыс. кв. м. или на 3 %. Основная доля введенного жилья на территории МО «Усть-Коксинский район» приходилась на индивидуальное жилищное строительство. Обусловлено это тем, что в связи с вступлением в силу Федерал</w:t>
      </w:r>
      <w:r>
        <w:rPr>
          <w:color w:val="000000"/>
          <w:sz w:val="28"/>
        </w:rPr>
        <w:t xml:space="preserve">ьного закона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</w:t>
      </w:r>
      <w:r>
        <w:rPr>
          <w:color w:val="000000"/>
          <w:sz w:val="28"/>
        </w:rPr>
        <w:t xml:space="preserve">й Федерации» от 08.12.2020 года № 404-ФЗ, до 01.03.2026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</w:t>
      </w:r>
      <w:r>
        <w:rPr>
          <w:color w:val="000000"/>
          <w:sz w:val="28"/>
        </w:rPr>
        <w:t xml:space="preserve">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пункте 39 статьи 1 Градостро</w:t>
      </w:r>
      <w:r>
        <w:rPr>
          <w:color w:val="000000"/>
          <w:sz w:val="28"/>
        </w:rPr>
        <w:t xml:space="preserve">ительного кодекса Российский Федерации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Планируемая общая площадь жилых помещений, приходящаяся на одного жителя по состоянию на 01.01.2025 г. составит 22,83 кв.м., что выше по сравнению с 2024 г. на 1,8 %.</w:t>
      </w:r>
      <w:r/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25 Площадь з</w:t>
      </w:r>
      <w:r>
        <w:rPr>
          <w:b/>
          <w:sz w:val="26"/>
          <w:szCs w:val="26"/>
        </w:rPr>
        <w:t xml:space="preserve">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Площадь земельных участков, предоставленных для строительства в расчете на 10 тыс. чел. населения по состоянию на 01.01.2024 г. составляет 34,255 га. Данный показатель по сравнению с 01.01.2023 г. увеличился на 1,102 га.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т</w:t>
      </w:r>
      <w:r>
        <w:rPr>
          <w:color w:val="000000"/>
          <w:sz w:val="28"/>
        </w:rPr>
        <w:t xml:space="preserve">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по состоянию на 01.01.2024 г. составляет 51,63 га. Данный показатель по сравнению с 01.01.2023 г</w:t>
      </w:r>
      <w:r>
        <w:rPr>
          <w:sz w:val="28"/>
        </w:rPr>
        <w:t xml:space="preserve">.</w:t>
      </w:r>
      <w:r>
        <w:rPr>
          <w:color w:val="ff0000"/>
          <w:sz w:val="28"/>
        </w:rPr>
        <w:t xml:space="preserve"> </w:t>
      </w:r>
      <w:r>
        <w:rPr>
          <w:color w:val="auto"/>
          <w:sz w:val="28"/>
        </w:rPr>
        <w:t xml:space="preserve">увеличился</w:t>
      </w:r>
      <w:r>
        <w:rPr>
          <w:color w:val="000000"/>
          <w:sz w:val="28"/>
        </w:rPr>
        <w:t xml:space="preserve"> на 0,93 га.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г. предоставлено для строительства земельные участки площадью 53,65 га, из них для жилищного строительства и индивидуального жилищного строительства – 51,63</w:t>
      </w:r>
      <w:r>
        <w:rPr>
          <w:color w:val="000000"/>
          <w:sz w:val="28"/>
        </w:rPr>
        <w:t xml:space="preserve"> га.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2024 г. планируется предоставить для строительства земельные участки площадью 52 га, из них для жилищного строительства и индивидуального жилищного строительства 50 га.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2025 г. планируется предоставить для строительства земельные участки площадью 51 га, из них для жилищного строительства и индивидуального жилищного строительства 49 га.</w:t>
      </w:r>
      <w:r/>
    </w:p>
    <w:p>
      <w:pPr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  <w:r/>
    </w:p>
    <w:p>
      <w:pPr>
        <w:ind w:firstLine="709"/>
        <w:jc w:val="both"/>
        <w:widowControl w:val="off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П. 26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  <w:r/>
    </w:p>
    <w:p>
      <w:pPr>
        <w:pStyle w:val="1007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объектов жилищного строительства - в течение 3 лет;</w:t>
      </w:r>
      <w:r/>
    </w:p>
    <w:p>
      <w:pPr>
        <w:pStyle w:val="1007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иных объектов капитального строительства - в течение 5 лет.</w:t>
      </w:r>
      <w:r/>
    </w:p>
    <w:p>
      <w:pPr>
        <w:ind w:left="0" w:right="0" w:firstLine="56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разрешения на ввод в эксплуатацию, нет.</w:t>
      </w:r>
      <w:r/>
    </w:p>
    <w:p>
      <w:pPr>
        <w:pStyle w:val="1008"/>
      </w:pPr>
      <w:r/>
      <w:r/>
    </w:p>
    <w:p>
      <w:pPr>
        <w:pStyle w:val="1007"/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П. 27</w:t>
      </w:r>
      <w:r>
        <w:rPr>
          <w:b/>
          <w:sz w:val="26"/>
          <w:szCs w:val="26"/>
          <w:lang w:val="ru-RU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 з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2023 г. составляет 100 %, по сравнению с 2022 г. показатель увеличился на 15,7 %.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Общее количество многоквартирных домов, в которых собственники помещений должны выбрать способ управления многоквартирными домами 15. По сравнению с прошлым годом произошло увеличение на 3 дома или на 15,7 % (2022 г.- 12ед.). Увеличение  связано с выбором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собственниками помещений непосредственного способа управления домами.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Количество многоквартирных домов управление, которыми осуществляют собственники жилья, составляет 15 ед., по сравнению с 2022 г. показатель увеличился на 3 ед..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Количество многоквартирных домов по муниципальному району, управление которыми осуществляется управляющей организацией частной формы собственности за 2023 г., составил 4ед., по сравнению с 2022 г. показатель не изменился.</w:t>
      </w:r>
      <w:r/>
    </w:p>
    <w:p>
      <w:pPr>
        <w:pStyle w:val="100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p>
      <w:pPr>
        <w:pStyle w:val="1007"/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П. 28 Доля организаций коммунального комплекса, осуществляющих производство товаров, оказание услуг</w:t>
      </w:r>
      <w:r>
        <w:rPr>
          <w:b/>
          <w:sz w:val="26"/>
          <w:szCs w:val="26"/>
          <w:lang w:val="ru-RU"/>
        </w:rPr>
        <w:t xml:space="preserve">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</w:t>
      </w:r>
      <w:r>
        <w:rPr>
          <w:b/>
          <w:sz w:val="26"/>
          <w:szCs w:val="26"/>
          <w:lang w:val="ru-RU"/>
        </w:rPr>
        <w:t xml:space="preserve">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Данная доля в 2023 г. составила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100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%, по сравнению с 2022 г. показатель не изменился. 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Общее число организаций коммунального комплекса на территории Усть-Коксинского района в 2023 г. составило 2 ед., по сравнению с 2022 г. показатель не изменился.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100 процентов составляет 2 ед., по сравн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ению с 2022 г. показатель не изменился.</w:t>
      </w:r>
      <w:r/>
    </w:p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29 Доля многоквартирных домов, расположенных на земельных участках, в отношении которых осуществлен государственный кадастровый учет.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составляет 100 %.</w:t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2023 год многоквартирные дома в эксплуатацию не вводились. В настоящее время количество многоквартирных домов, в том числе двухквартирных, на территории района составляет 1085 единиц.</w:t>
      </w:r>
      <w:r/>
    </w:p>
    <w:p>
      <w:pPr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  <w:r/>
    </w:p>
    <w:p>
      <w:pPr>
        <w:ind w:left="0" w:right="0" w:firstLine="56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r/>
    </w:p>
    <w:p>
      <w:pPr>
        <w:ind w:left="0" w:right="0" w:firstLine="70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населения, получившего жилые помещения и улучшившего жилищные условия в отчетном году, в общей численности, состоящего на учете в муниципальном образовании «Усть-Коксинский район» в 2023 г. составляет 10,7 %, по сравнению с 2022 г. произошло увеличени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 на 4,1 процентных пункта. Численность населения, получившего жилые помещения и улучшившего жилищные условия в отчетном году, составила 71 человек, по сравнению с 2022 г. произошло увеличение на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16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чел.:  </w:t>
      </w:r>
      <w:r/>
    </w:p>
    <w:p>
      <w:pPr>
        <w:numPr>
          <w:ilvl w:val="0"/>
          <w:numId w:val="16"/>
        </w:numPr>
        <w:jc w:val="both"/>
        <w:spacing w:before="0" w:after="0"/>
        <w:tabs>
          <w:tab w:val="left" w:pos="851" w:leader="none"/>
          <w:tab w:val="left" w:pos="993" w:leader="none"/>
          <w:tab w:val="left" w:pos="127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Ветераны боевых действий, инвалиды вставшие на учет до 2005 года- 10человек; </w:t>
      </w:r>
      <w:r/>
    </w:p>
    <w:p>
      <w:pPr>
        <w:numPr>
          <w:ilvl w:val="0"/>
          <w:numId w:val="16"/>
        </w:numPr>
        <w:jc w:val="both"/>
        <w:spacing w:before="0" w:after="0"/>
        <w:tabs>
          <w:tab w:val="left" w:pos="851" w:leader="none"/>
          <w:tab w:val="left" w:pos="993" w:leader="none"/>
          <w:tab w:val="left" w:pos="127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ФЦП «Комплексное развитие сельских территорий» - 6 человек;  </w:t>
      </w:r>
      <w:r/>
    </w:p>
    <w:p>
      <w:pPr>
        <w:numPr>
          <w:ilvl w:val="0"/>
          <w:numId w:val="16"/>
        </w:numPr>
        <w:jc w:val="both"/>
        <w:spacing w:before="0" w:after="0"/>
        <w:tabs>
          <w:tab w:val="left" w:pos="851" w:leader="none"/>
          <w:tab w:val="left" w:pos="993" w:leader="none"/>
          <w:tab w:val="left" w:pos="127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Мероприятие «Обеспечение жильем молодых семей» -  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55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человек.  </w:t>
      </w:r>
      <w:r/>
    </w:p>
    <w:p>
      <w:pPr>
        <w:ind w:left="0" w:right="0" w:firstLine="70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Общая численность населения, состоящего на учете в качестве нуждающегося в жилых помещениях в 2023 г. составляет 803 членов семей.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6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инвалидов,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25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участников боевых действий,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130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граждан по линии ФЦП «Комплексное развитие сельских территорий»,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91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граждан участников подпрограммы «Обеспечение жильем молодых семей».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2024 году планируется обеспечить следующие категории граждан: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инвалиды – 2;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ветераны боевых действий -3;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комплексное развитие сельских территорий – 1;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молодая семья – 10.</w:t>
      </w:r>
      <w:r/>
    </w:p>
    <w:p>
      <w:pPr>
        <w:ind w:firstLine="567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субвенции)в отчетном году составил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32,7 %, что больше предыдущего года на 6,1 процентных пунктов в связи с увеличением поступления налоговых и неналоговых доходов на 12,2% или 28540, тыс. рублей  и снижением объема безвозмездных поступлений (кроме субвенций) на 16,5% или 106148,8 тыс. руб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лей.   </w:t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Причина уменьшения общего объема собственных доходов бюджета муниципального образования (без учета субвенции) в сравнении с предыдущим финансовым годом связана уменьшением объема безвозмездных перечислений от бюджетов других уровней РФ (Субсидии бюджетам 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убъектов РФ и муниципальным образованиям на 217157,5 тыс. руб.), в то же время произошел рост  суммы налоговых и неналоговых доходов (НДФЛ на 13,2%, НИФЛ на 21,0%, ЗН на 10,0%, </w:t>
      </w:r>
      <w:r>
        <w:rPr>
          <w:rFonts w:ascii="Times New Roman" w:hAnsi="Times New Roman" w:eastAsia="Times New Roman" w:cs="Times New Roman"/>
          <w:color w:val="ff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НДПИ на 20,3%, доходы от использования имущества, находящегося в государственной и муниципальной собственности на 73,3%, доходы от продажи материальных и нематериальных активов на 257,7%). </w:t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Причина увеличения поступления налоговых и неналоговых доходов с предыдущим финансовым годом связана с ростом суммы налоговых и неналоговых доходов НДФЛ на 12175,1 тыс. руб., НИФЛ на 842,0 тыс. руб., ЗН на 961,1 тыс. руб., </w:t>
      </w:r>
      <w:r>
        <w:rPr>
          <w:rFonts w:ascii="Times New Roman" w:hAnsi="Times New Roman" w:eastAsia="Times New Roman" w:cs="Times New Roman"/>
          <w:color w:val="ff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НДПИ на 10,9 тыс. руб., доходы от использования имущества, находящегося в государственной и муниципальной собственности на 15578,9 тыс. руб., доходы от продажи материальных и нематериальных активов на 13612,3 тыс. руб.). </w:t>
      </w:r>
      <w:r>
        <w:rPr>
          <w:rFonts w:ascii="Calibri" w:hAnsi="Calibri" w:eastAsia="Calibri" w:cs="Calibri"/>
          <w:sz w:val="22"/>
        </w:rPr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П.32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  <w:r/>
    </w:p>
    <w:p>
      <w:pPr>
        <w:ind w:firstLine="705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стоимости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составила в 2023 г. 0 %, что соответствует уровню 2022 г., так как организации муниципальной формы собственности, находящиеся в стадии банкротства, на территории муниципального района отсутствуют</w:t>
      </w:r>
      <w:r>
        <w:rPr>
          <w:color w:val="000000"/>
          <w:sz w:val="28"/>
        </w:rPr>
        <w:t xml:space="preserve">. </w:t>
      </w:r>
      <w:r/>
    </w:p>
    <w:p>
      <w:pPr>
        <w:ind w:firstLine="709"/>
        <w:jc w:val="both"/>
        <w:spacing w:line="65" w:lineRule="atLeast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Полная учетная стоимость основных фондов организаций муниципальной формы собственности по итогам 2023 г. составила 1231192,4 тыс. рублей, что на 9,2 % больше учетной стоимости основных фондов организаций муниципальной формы собственности предыдущего года. </w:t>
      </w:r>
      <w:r>
        <w:rPr>
          <w:color w:val="000000"/>
          <w:sz w:val="28"/>
          <w:highlight w:val="none"/>
        </w:rPr>
      </w:r>
      <w:r/>
    </w:p>
    <w:p>
      <w:pPr>
        <w:ind w:left="0" w:right="0" w:firstLine="72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Увеличение стоимости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 имущества в отчетном году составило 102741,3 тыс.руб., в том числе увеличение стоимости жилых помещений на 937,1 тыс руб., нежилых помещений на 19754,5 тыс.руб., машин и оборудования на 53434,9 тыс.руб, транспортных средств на 4888,1 тыс.руб, инвентаря п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роизводственного и хозяйственного на 18110,9 тыс.руб, прочих основных средств на 5615,8 тыс.руб.  Безвозмездное поступление имущества от других бюджетов бюджетной системы Российской Федерации и поступления от бюджетных учреждений составило 56711,7 тыс.руб.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плановом периоде планируется увеличение полной учетной стоимости основных фондов организаций муниципальной формы собственности в связи с вводом в эксплуатацию объектов муниципальной собственности по завершенным объектам капитального строительства и приоб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ретением компьютерного и иного оборудования. Так в 2024 г. планируется ввести в эксплуатацию здание сельского клуба в с. Сугаш  стоимостью 60 000 тыс. рублей, рост на 7,2 %, незначительный рост в 2025 г на 500,0 тыс. рублей.</w:t>
      </w:r>
      <w:r/>
    </w:p>
    <w:p>
      <w:pPr>
        <w:ind w:firstLine="0"/>
        <w:jc w:val="both"/>
        <w:spacing w:line="65" w:lineRule="atLeast"/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  <w:r/>
    </w:p>
    <w:p>
      <w:pPr>
        <w:ind w:firstLine="567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П. 33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  <w:r/>
    </w:p>
    <w:p>
      <w:pPr>
        <w:ind w:left="0" w:right="0" w:firstLine="55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Объем не завершенного в установленные сроки строительства, осуществляемого за счет средств бюджета муниципального района в отчетном периоде - 0,00 тыс. рублей. На плановый период 2024 - 2026 годы – 0 тыс. рублей. </w:t>
      </w:r>
      <w:r/>
    </w:p>
    <w:p>
      <w:pPr>
        <w:ind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отчетном году составляет 0%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 плановый период 2024 - 2026 годы – 0 %.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Всего в 2023 году на оплату труда (включая начисления на оплату труда) муниципальных учреждений направлено 751591,219 тыс. рублей, что больше на 12,92 процентных пункта 2022 года, в связи с увеличением МРОТ, реализацией Указов Президента Российской Федерац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ии и повышением оплаты труда работникам бюджетной сферы с 1 октября 2023 года. 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  <w:r/>
    </w:p>
    <w:p>
      <w:pPr>
        <w:ind w:firstLine="709"/>
        <w:jc w:val="both"/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Просроченная кредиторская задолженность по оплате труда (включая начисления на оплату труда) муниципальных бюджетных учреждений в отчетном году, как и за предыдущие периоды, отсутствует.</w:t>
      </w:r>
      <w:r/>
    </w:p>
    <w:p>
      <w:pPr>
        <w:ind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/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6"/>
          <w:szCs w:val="26"/>
        </w:rPr>
        <w:t xml:space="preserve">.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  <w:r/>
    </w:p>
    <w:p>
      <w:pPr>
        <w:ind w:firstLine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ind w:left="0" w:right="0" w:firstLine="0"/>
        <w:spacing w:before="0" w:after="200"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в 2023 г. составили 4 802,719 руб. Расходы уменьшились на 20%. Общий объем расходов консолидированного бюджета на содержание рабо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тников органов местного самоуправления в 2023 г. составил 75 220,189 тыс. руб. темп спада 20%. Уменьшение произошло так, как расходы на содержание органов местного самоуправления сельских поселений в 2023 году отражены без расходов на содержание централизо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ванных бухгалтерий.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spacing w:before="0" w:after="200"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 На 2024г. расходы на содержание органов местного самоуправления прогнозируются в размере 91 191,74 тыс. руб. На 2025 г. - в размере 91 191,74  тыс. руб. На 2026 г. - в размере 91 191,74  тыс. руб.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="6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П. 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  <w:r/>
    </w:p>
    <w:p>
      <w:pPr>
        <w:ind w:firstLine="567"/>
        <w:jc w:val="both"/>
        <w:rPr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Основным документом территориального планирования                                        МО «Усть-Коксинский район» является схема территориального планирования района. 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</w:p>
    <w:p>
      <w:pPr>
        <w:ind w:firstLine="567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</w:r>
      <w:r/>
    </w:p>
    <w:p>
      <w:pPr>
        <w:ind w:firstLine="567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П. 37 Удовлетворенность населения деятельностью органов местного самоуправления городского округа (муниципального района)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Удовлетворенность населения деятельностью органов местного самоуправления муниципального образования «Усть-Коксинский </w:t>
      </w:r>
      <w:r>
        <w:rPr>
          <w:color w:val="000000"/>
          <w:sz w:val="28"/>
        </w:rPr>
        <w:t xml:space="preserve">район» за 2023 г. </w:t>
      </w:r>
      <w:r>
        <w:rPr>
          <w:color w:val="000000"/>
          <w:sz w:val="28"/>
        </w:rPr>
        <w:t xml:space="preserve">составила 72,45%, по сравнению с 2022 г. </w:t>
      </w:r>
      <w:r>
        <w:rPr>
          <w:sz w:val="28"/>
        </w:rPr>
        <w:t xml:space="preserve">показатель увеличился</w:t>
      </w:r>
      <w:r>
        <w:rPr>
          <w:color w:val="000000"/>
          <w:sz w:val="28"/>
        </w:rPr>
        <w:t xml:space="preserve"> на </w:t>
      </w:r>
      <w:r>
        <w:rPr>
          <w:sz w:val="28"/>
        </w:rPr>
        <w:t xml:space="preserve">108%. </w:t>
      </w:r>
      <w:r/>
    </w:p>
    <w:p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удовлетворенности населения Усть-Коксинского района среди муниципальных образований Республики Алтай находится на 7-м месте.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numPr>
          <w:ilvl w:val="0"/>
          <w:numId w:val="28"/>
        </w:numPr>
        <w:ind w:lef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 республиканского уровня удовлетворенность населения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организацией транспортного обслуживания – 72,80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%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- </w:t>
      </w:r>
      <w:r>
        <w:rPr>
          <w:rFonts w:ascii="Times New Roman" w:hAnsi="Times New Roman" w:cs="Times New Roman"/>
          <w:sz w:val="28"/>
          <w:szCs w:val="28"/>
        </w:rPr>
        <w:t xml:space="preserve">62,43%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b05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республиканского значения уровень удовлетворенности населения: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763"/>
        <w:numPr>
          <w:ilvl w:val="0"/>
          <w:numId w:val="48"/>
        </w:numPr>
        <w:ind w:left="709" w:right="0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 главы  муниципального района - 79,13% (5 место) ,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/>
      <w:r/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администрации сельского поселения – 83,19% (6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85,88%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деятельностью главы сельского поселения – 80,25 % (6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85,09%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деятельностью районного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Совета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депутатов – 70,83% (7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79,9%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деятельностью сельских Советов депутатов – 77,31% (6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83,39%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по организации/качеству услуг газоснабжения – 62,33% (7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81,09%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качественного обслуживания автомобильных дорог – </w:t>
      </w:r>
      <w:r>
        <w:rPr>
          <w:rFonts w:ascii="Times New Roman" w:hAnsi="Times New Roman" w:cs="Times New Roman"/>
          <w:sz w:val="28"/>
          <w:szCs w:val="28"/>
        </w:rPr>
        <w:t xml:space="preserve">45,99% (6 место)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61,06%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теплоснабжения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77,25%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85,98%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электроснабжения – 77,12% (5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79,66%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качества услуг водоснабжения (водоотведения) – 84,12% (3 место),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республиканский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84,86%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 xml:space="preserve">П. 38. Среднегодовая численность постоянного населения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Анализируя демографическую ситуацию в Усть-Коксинском районе, следует отметить, что темпы роста общей численности населения остаются в пр</w:t>
      </w:r>
      <w:r>
        <w:rPr>
          <w:color w:val="000000"/>
          <w:sz w:val="28"/>
        </w:rPr>
        <w:t xml:space="preserve">еделах</w:t>
      </w:r>
      <w:r>
        <w:rPr>
          <w:color w:val="000000"/>
          <w:sz w:val="28"/>
        </w:rPr>
        <w:t xml:space="preserve"> среднегодовых значений. Среднегодовая численность населения на 01.01.2024 г. составила 15,662 тыс. чел. По сравнению с 2022 г. среднегодовая численность населения уменьшилась на 0,4% или 59 чел. Снижение данного показателя обусловлено миграционной убылью.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2023 г. родилось 205 ребенка, что на 4,6 % выше по сравнению с аналогичным периодом прошлого года (2022 год – 196 чел.). Смертность уменьшилась на 16% (в 2022 году - 206 чел.), что обусловлено </w:t>
      </w:r>
      <w:r>
        <w:rPr>
          <w:color w:val="000000"/>
          <w:sz w:val="28"/>
        </w:rPr>
        <w:t xml:space="preserve">снижением смертности среди старшего трудоспособного населения</w:t>
      </w:r>
      <w:r>
        <w:rPr>
          <w:color w:val="000000"/>
          <w:sz w:val="28"/>
        </w:rPr>
        <w:t xml:space="preserve">.</w:t>
      </w:r>
      <w:r/>
    </w:p>
    <w:p>
      <w:pPr>
        <w:ind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Что касается показателей миграции, то </w:t>
      </w:r>
      <w:r>
        <w:rPr>
          <w:color w:val="000000" w:themeColor="text1"/>
          <w:sz w:val="28"/>
        </w:rPr>
        <w:t xml:space="preserve">в 2023 г.</w:t>
      </w:r>
      <w:r>
        <w:rPr>
          <w:color w:val="000000"/>
          <w:sz w:val="28"/>
        </w:rPr>
        <w:t xml:space="preserve"> количество прибывших составило 568 чел., что на 2,2 % ниже по сравнению с аналогичным периодом прошлого года (2022 г. – 581 чел.). Количество выбывших – 650 чел., что на </w:t>
      </w:r>
      <w:r>
        <w:rPr>
          <w:color w:val="000000"/>
          <w:sz w:val="28"/>
        </w:rPr>
        <w:t xml:space="preserve">2,8% больше, чем в прошлом году (2022 г. – </w:t>
      </w:r>
      <w:r>
        <w:rPr>
          <w:color w:val="000000"/>
          <w:sz w:val="28"/>
        </w:rPr>
        <w:t xml:space="preserve">632 чел.). Динамика миграции по сравнению с аналогичным периодом прошлого года является </w:t>
      </w:r>
      <w:r>
        <w:rPr>
          <w:sz w:val="28"/>
        </w:rPr>
        <w:t xml:space="preserve">отрицательной, </w:t>
      </w:r>
      <w:r>
        <w:rPr>
          <w:color w:val="000000"/>
          <w:sz w:val="28"/>
        </w:rPr>
        <w:t xml:space="preserve">миграционный спад составил -</w:t>
      </w:r>
      <w:r>
        <w:rPr>
          <w:color w:val="000000"/>
          <w:sz w:val="28"/>
        </w:rPr>
        <w:t xml:space="preserve"> 82 чел.</w:t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основном преобладает межрегиональная миграция (+ / - __чел.), это обусловлено, </w:t>
      </w:r>
      <w:r>
        <w:rPr>
          <w:color w:val="000000"/>
          <w:sz w:val="28"/>
        </w:rPr>
        <w:t xml:space="preserve">движением населения в другие регионы в поисках работы и учебы.</w:t>
      </w:r>
      <w:r>
        <w:rPr>
          <w:color w:val="000000"/>
          <w:sz w:val="28"/>
        </w:rPr>
        <w:t xml:space="preserve">.</w:t>
      </w:r>
      <w:r/>
    </w:p>
    <w:p>
      <w:pPr>
        <w:ind w:firstLine="567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IX</w:t>
      </w:r>
      <w:r>
        <w:rPr>
          <w:rFonts w:ascii="Times New Roman" w:hAnsi="Times New Roman" w:cs="Times New Roman"/>
          <w:b/>
          <w:sz w:val="26"/>
          <w:szCs w:val="26"/>
        </w:rPr>
        <w:t xml:space="preserve">. Энергосбережение и повышение энергетической эффективности</w:t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Удельная величина потребления энергетических ресурсов в многоквартирных домах в 2023 г. составила: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электрическая энергия 698,421 кВт/ч на 1 проживающего по сравнению с 2022 г. произошло уменьшение на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34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кВт/ч.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объем потребления электрической энергии в многоквартирных домах составил 265,4МВт/ч, в сравнении с 2022 г. показатель уменьшился на 13 МВт/ч или связи с уменьшением среднего числа потребителей электрической энергии в многоквартирных домах;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тепловая энергия 0,298 Гкал на 1 кв. метр общей площади по сравнению с 2022 г. показатель остался без изменений.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объем потребления тепловой энергии в многоквартирных домах составил 1105,864 Гкал, что в сравнении с 2022 г. показатель остался без изменений, это показывает эффективность капитальных ремонтов на системах теплоснабжения.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горячего водоснабжения на территории района нет;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холодная вода 13,947  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на 1 проживающего по сравнению с 2022 г. произошло уменьшение на 1,842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или на 88 %;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объем потребления холодной воды в многоквартирных домах составил 5,345 тыс.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Показатель сократился на 0,7 тыс.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или на 70% в сравнении с 2022 г. в связи с уменьшением потребления холодной воды в летний период.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Удельная величина потребления энергетических ресурсов муниципальными бюджетными учреждениями в 2023 г. составила: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электрическая энергия 199,879 кВт/ч на 1 человека населения по сравнению с 2022 г. произошло уменьшение на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12,582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кВт/ч;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потребление электрической энергии составило 3130,5 МВт/ч, в сравнении с 2022 г. показатель уменьшился на 206 МВт/ч;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тепловая энергия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0,224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Гкал на 1 кв. метр общей площади по сравнению с 2022 г. произошло уменьшение на 0,016 Гкал.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потребление тепловой энергии составило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10,402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Гкал. В сравнении с 2022г. показатель увеличился на 524 Гкал.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горячей воды на территории района нет.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холодная вода 0,710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на 1 человека населения по сравнению с 2022 г. произошло уменьшение на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0,222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3"/>
        </w:rPr>
        <w:t xml:space="preserve">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потребление холодной воды муниципальными бюджетными учреждениями составило 11,121 тыс.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что на 3,531 тыс. м</w:t>
      </w:r>
      <w:r>
        <w:rPr>
          <w:rFonts w:ascii="Times New Roman" w:hAnsi="Times New Roman" w:eastAsia="Times New Roman" w:cs="Times New Roman"/>
          <w:color w:val="000000"/>
          <w:sz w:val="23"/>
          <w:vertAlign w:val="superscript"/>
        </w:rPr>
        <w:t xml:space="preserve">3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или меньше потребления в 2022 г.;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природного газа на территории  района  нет.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 итогам 2023 г. в целом по району удельная величина потребления коммунальных ресурсов бюджетными учреждениями изменялась, как в сторону увеличения, так и в сторону уменьшения, что обусловлено внедрением энергосберегающих технологий.</w:t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pStyle w:val="1017"/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П.41 Результ</w:t>
      </w:r>
      <w:r>
        <w:rPr>
          <w:rFonts w:ascii="Times New Roman" w:hAnsi="Times New Roman" w:cs="Times New Roman"/>
          <w:b/>
          <w:sz w:val="26"/>
          <w:szCs w:val="26"/>
        </w:rPr>
        <w:t xml:space="preserve">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  <w:r/>
    </w:p>
    <w:p>
      <w:pPr>
        <w:ind w:firstLine="709"/>
        <w:jc w:val="both"/>
        <w:rPr>
          <w:i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z w:val="28"/>
        </w:rPr>
        <w:t xml:space="preserve">в сфере образования:</w:t>
      </w:r>
      <w:r/>
    </w:p>
    <w:p>
      <w:pPr>
        <w:ind w:left="0" w:right="0" w:firstLine="0"/>
        <w:jc w:val="both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2023 году независимая оценка качества условий осуществления образовательной деятельности организациями, осуществляющими образовательную деятельность, проведена в отношении 5 общеобразовательных организаций муниципального образования "Усть-Коксинский райо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н", являющихся юридическими лицами и их структурных подразделений (4 детских сада и 2 начальных школы). Охват независимой оценкой качества муниципальных образовательных организаций в 2023 году составил 25 % от общего числа образовательных организаций МО "У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сть-Коксинский район".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МБОУ "ТЮГУРЮКСКАЯ ООШ" – 93,1 баллов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МБОУ "ТЕРЕКТИНСКАЯ СОШ" – 90,2 балла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МБОУ "ТЮНГУРСКАЯ ООШ" – 88,08 баллов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МБОУ "КАСТАХТИНСКАЯ ООШ" – 88,04 балла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МБОУ "ГОРБУНОВСКАЯ ООШ" – 85,38 баллов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Общий уровень удовлетворенности условиями осуществления образовательной деятельности по совокупности образовательных организаций в МО "Усть-Коксинский район" составил 88,9 балла.</w:t>
      </w:r>
      <w:r>
        <w:rPr>
          <w:sz w:val="22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Основными замечаниями и предложениями, поступившими от опрошенных, было то, что школам необходимо расширение пространства для организации внеурочной деятельности и дополнительного образования, строительство столовых и спортивных залов, проведение капитал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ьных ремонтов зданий школ и строительство новых зданий детских садов. По результатам работы оператора, ответственного за обобщение информации о качестве условий осуществления образовательной деятельности вынесены замечания по размещению информации на сайта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х и стендах образовательных организаций, а также обеспечение в организациях условий доступности для инвалидов.</w:t>
      </w:r>
      <w:r>
        <w:rPr>
          <w:sz w:val="22"/>
        </w:rPr>
      </w:r>
      <w:r/>
    </w:p>
    <w:p>
      <w:pPr>
        <w:ind w:firstLine="709"/>
        <w:jc w:val="both"/>
        <w:rPr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Распоряжением администрации МО "Усть-Коксинский район" утверждены результаты независимой оценки качества, рекомендовано продолжить работу по привлечению активных пользователей сайтов, способствовать повышению информационной доступности образовательной орга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низации для получателей услуг; своевременно актуализировать и дополнять электронные сервисы образовательных организаций, продолжить работу по созданию доступной среды для маломобильных категорий населения</w:t>
      </w:r>
      <w:r>
        <w:rPr>
          <w:color w:val="000000"/>
          <w:sz w:val="28"/>
        </w:rPr>
        <w:t xml:space="preserve">.</w:t>
      </w:r>
      <w:r/>
    </w:p>
    <w:p>
      <w:pPr>
        <w:ind w:firstLine="709"/>
        <w:jc w:val="both"/>
        <w:rPr>
          <w:i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z w:val="28"/>
        </w:rPr>
        <w:t xml:space="preserve">в сфере культуры:</w:t>
      </w:r>
      <w:r/>
    </w:p>
    <w:p>
      <w:pPr>
        <w:ind w:firstLine="709"/>
        <w:jc w:val="both"/>
        <w:tabs>
          <w:tab w:val="left" w:pos="1391" w:leader="none"/>
          <w:tab w:val="left" w:pos="2411" w:leader="none"/>
          <w:tab w:val="center" w:pos="4677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В независимой оценке участвовала </w:t>
      </w:r>
      <w:r>
        <w:rPr>
          <w:color w:val="000000"/>
          <w:sz w:val="28"/>
          <w:highlight w:val="white"/>
        </w:rPr>
        <w:t xml:space="preserve">27 организаций культуры, входящих в состав МУАМО «Усть-Коксинский район» «Дом творчества и досуга», что составляет </w:t>
      </w:r>
      <w:r>
        <w:rPr>
          <w:color w:val="000000"/>
          <w:sz w:val="28"/>
        </w:rPr>
        <w:t xml:space="preserve">57%</w:t>
      </w:r>
      <w:r>
        <w:rPr>
          <w:color w:val="000000"/>
          <w:sz w:val="28"/>
          <w:highlight w:val="white"/>
        </w:rPr>
        <w:t xml:space="preserve"> от общего количества организаций культуры на территории района.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/>
    </w:p>
    <w:p>
      <w:pPr>
        <w:ind w:firstLine="708"/>
        <w:jc w:val="both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  В 2023 году оценивались: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как открытость и доступность информации об организации (учреждении);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комфортность условий предоставления услуг, в том числе время ожидания предоставления услуг;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-доступность услуг для инвалидов;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показатели, характеризующие доброжелательность, вежливость работников организации (учреждения);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- показатели, характеризующие удовлетворенность условиями оказания услуг.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В рамках данной независимой оценки было проведено анкетирование 267 респондента</w:t>
      </w:r>
      <w:r>
        <w:rPr>
          <w:b/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получателей услуг организации (анкетированию подлежало одно учреждение, включающее в себя 27 сельских клубов) - для выявления позиций, мнения потребителей о качестве предоставляемых услуг.</w:t>
      </w:r>
      <w:r/>
    </w:p>
    <w:p>
      <w:pPr>
        <w:ind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Максимальное итоговое число возможных баллов, по всем блокам, соответственно </w:t>
      </w:r>
      <w:r>
        <w:rPr>
          <w:color w:val="000000"/>
          <w:sz w:val="28"/>
          <w:u w:val="single"/>
        </w:rPr>
        <w:t xml:space="preserve">–500,</w:t>
      </w:r>
      <w:r>
        <w:rPr>
          <w:color w:val="000000"/>
          <w:sz w:val="28"/>
        </w:rPr>
        <w:t xml:space="preserve"> что составляет </w:t>
      </w:r>
      <w:r>
        <w:rPr>
          <w:color w:val="000000"/>
          <w:sz w:val="28"/>
        </w:rPr>
        <w:t xml:space="preserve">100% удовлетворенности. Общее количество набранных баллов при 500 возможных – 415,2 баллов, что характеризует удовлетворенность получателей услуг в целом по всем критериям, характеризующим качество услуг организации на </w:t>
      </w:r>
      <w:r>
        <w:rPr>
          <w:color w:val="000000"/>
          <w:sz w:val="28"/>
        </w:rPr>
        <w:t xml:space="preserve">83,1%.</w:t>
      </w:r>
      <w:r/>
    </w:p>
    <w:p>
      <w:pPr>
        <w:ind w:firstLine="709"/>
        <w:jc w:val="both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Результаты анализа показателей, характеризующих общий критерий оценки открытости и доступности информации об организации (</w:t>
      </w:r>
      <w:r>
        <w:rPr>
          <w:color w:val="000000"/>
          <w:sz w:val="28"/>
        </w:rPr>
        <w:t xml:space="preserve">88,3%). С учетом вышеизложенного рекомендуем руководителю организации, организовать работу сайта учреждения, способствовать привлечению активных пользователей, повышению информационной доступности организации для получателей услуг.</w:t>
      </w:r>
      <w:r/>
    </w:p>
    <w:p>
      <w:pPr>
        <w:ind w:firstLine="709"/>
        <w:jc w:val="both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Оценива</w:t>
      </w:r>
      <w:r>
        <w:rPr>
          <w:color w:val="000000"/>
          <w:sz w:val="28"/>
        </w:rPr>
        <w:t xml:space="preserve">я</w:t>
      </w:r>
      <w:r>
        <w:rPr>
          <w:color w:val="000000"/>
          <w:sz w:val="28"/>
        </w:rPr>
        <w:t xml:space="preserve"> комфортность условий, в которых предоставляются услуги, 90,6%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</w:t>
      </w:r>
      <w:r>
        <w:rPr>
          <w:color w:val="000000"/>
          <w:sz w:val="28"/>
        </w:rPr>
        <w:t xml:space="preserve">п</w:t>
      </w:r>
      <w:r>
        <w:rPr>
          <w:color w:val="000000"/>
          <w:sz w:val="28"/>
        </w:rPr>
        <w:t xml:space="preserve">ность услуг для инвалидов» оценка составила 52,6%, необходимо продолжить работу по повышению указанного показателя. Актуализировать паспорт доступности, предусмотреть соответствующие мероприятия по обеспечению доступной среды в плане развития учреждения.  </w:t>
      </w:r>
      <w:r/>
    </w:p>
    <w:p>
      <w:pPr>
        <w:ind w:firstLine="708"/>
        <w:jc w:val="both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По мнению 90,1%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</w:t>
      </w:r>
      <w:r>
        <w:rPr>
          <w:color w:val="000000"/>
          <w:sz w:val="28"/>
        </w:rPr>
        <w:t xml:space="preserve">93,6%.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color w:val="000000"/>
          <w:sz w:val="28"/>
        </w:rPr>
        <w:t xml:space="preserve">в сфере социального обслуживания:</w:t>
      </w:r>
      <w:r>
        <w:rPr>
          <w:color w:val="000000"/>
          <w:sz w:val="28"/>
        </w:rPr>
        <w:t xml:space="preserve"> 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</w:rPr>
        <w:t xml:space="preserve">Независимая оценка качества условий оказания услуг муниципальными организациями в сфере социального обслуживания, расположенными на </w:t>
      </w:r>
      <w:r>
        <w:rPr>
          <w:color w:val="000000"/>
          <w:sz w:val="28"/>
        </w:rPr>
        <w:t xml:space="preserve">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не проводилась, в связи с тем, что в ведомстве района организаций социального обслуживания нет.</w:t>
      </w:r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1017"/>
        <w:ind w:left="0" w:firstLine="567"/>
        <w:jc w:val="both"/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newromanpsmt;times new rom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40503050306020203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85" w:hanging="284"/>
      </w:pPr>
      <w:rPr>
        <w:rFonts w:ascii="Times New Roman" w:hAnsi="Times New Roman" w:eastAsia="Times New Roman" w:cs="Times New Roman"/>
        <w:spacing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402" w:hanging="708"/>
      </w:pPr>
      <w:rPr>
        <w:rFonts w:ascii="Times New Roman" w:hAnsi="Times New Roman" w:eastAsia="Times New Roman" w:cs="Times New Roman"/>
        <w:spacing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1818" w:hanging="423"/>
      </w:pPr>
      <w:rPr>
        <w:rFonts w:ascii="Times New Roman" w:hAnsi="Times New Roman" w:eastAsia="Times New Roman" w:cs="Times New Roman"/>
        <w:spacing w:val="0"/>
      </w:rPr>
    </w:lvl>
    <w:lvl w:ilvl="3">
      <w:start w:val="1"/>
      <w:numFmt w:val="bullet"/>
      <w:isLgl w:val="false"/>
      <w:suff w:val="tab"/>
      <w:lvlText w:val="•"/>
      <w:lvlJc w:val="left"/>
      <w:pPr>
        <w:ind w:left="2872" w:hanging="423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•"/>
      <w:lvlJc w:val="left"/>
      <w:pPr>
        <w:ind w:left="3924" w:hanging="423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•"/>
      <w:lvlJc w:val="left"/>
      <w:pPr>
        <w:ind w:left="4977" w:hanging="423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•"/>
      <w:lvlJc w:val="left"/>
      <w:pPr>
        <w:ind w:left="6029" w:hanging="423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•"/>
      <w:lvlJc w:val="left"/>
      <w:pPr>
        <w:ind w:left="7082" w:hanging="423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•"/>
      <w:lvlJc w:val="left"/>
      <w:pPr>
        <w:ind w:left="8134" w:hanging="423"/>
      </w:pPr>
      <w:rPr>
        <w:rFonts w:hint="default"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none"/>
      <w:pStyle w:val="725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726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90" w:hanging="78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1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287" w:hanging="72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85" w:hanging="284"/>
      </w:pPr>
      <w:rPr>
        <w:rFonts w:ascii="Times New Roman" w:hAnsi="Times New Roman" w:eastAsia="Times New Roman" w:cs="Times New Roman"/>
        <w:spacing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402" w:hanging="708"/>
      </w:pPr>
      <w:rPr>
        <w:rFonts w:ascii="Times New Roman" w:hAnsi="Times New Roman" w:eastAsia="Times New Roman" w:cs="Times New Roman"/>
        <w:spacing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1818" w:hanging="423"/>
      </w:pPr>
      <w:rPr>
        <w:rFonts w:ascii="Times New Roman" w:hAnsi="Times New Roman" w:eastAsia="Times New Roman" w:cs="Times New Roman"/>
        <w:spacing w:val="0"/>
      </w:rPr>
    </w:lvl>
    <w:lvl w:ilvl="3">
      <w:start w:val="1"/>
      <w:numFmt w:val="bullet"/>
      <w:isLgl w:val="false"/>
      <w:suff w:val="tab"/>
      <w:lvlText w:val="•"/>
      <w:lvlJc w:val="left"/>
      <w:pPr>
        <w:ind w:left="2872" w:hanging="423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•"/>
      <w:lvlJc w:val="left"/>
      <w:pPr>
        <w:ind w:left="3924" w:hanging="423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•"/>
      <w:lvlJc w:val="left"/>
      <w:pPr>
        <w:ind w:left="4977" w:hanging="423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•"/>
      <w:lvlJc w:val="left"/>
      <w:pPr>
        <w:ind w:left="6029" w:hanging="423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•"/>
      <w:lvlJc w:val="left"/>
      <w:pPr>
        <w:ind w:left="7082" w:hanging="423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•"/>
      <w:lvlJc w:val="left"/>
      <w:pPr>
        <w:ind w:left="8134" w:hanging="423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9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3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5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9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1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56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9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3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5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9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1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56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9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3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5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9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1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56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9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3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5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9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1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56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9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3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5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9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1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56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 w:default="1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725">
    <w:name w:val="Heading 1"/>
    <w:basedOn w:val="724"/>
    <w:next w:val="1008"/>
    <w:link w:val="754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726">
    <w:name w:val="Heading 2"/>
    <w:basedOn w:val="724"/>
    <w:next w:val="724"/>
    <w:link w:val="755"/>
    <w:qFormat/>
    <w:pPr>
      <w:numPr>
        <w:ilvl w:val="1"/>
        <w:numId w:val="1"/>
      </w:num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727">
    <w:name w:val="Heading 3"/>
    <w:basedOn w:val="724"/>
    <w:next w:val="724"/>
    <w:link w:val="7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8">
    <w:name w:val="Heading 4"/>
    <w:basedOn w:val="724"/>
    <w:next w:val="724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724"/>
    <w:next w:val="724"/>
    <w:link w:val="7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724"/>
    <w:next w:val="724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724"/>
    <w:next w:val="724"/>
    <w:link w:val="7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724"/>
    <w:next w:val="724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724"/>
    <w:next w:val="724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1 Char"/>
    <w:basedOn w:val="734"/>
    <w:uiPriority w:val="9"/>
    <w:rPr>
      <w:rFonts w:ascii="Arial" w:hAnsi="Arial" w:eastAsia="Arial" w:cs="Arial"/>
      <w:sz w:val="40"/>
      <w:szCs w:val="40"/>
    </w:rPr>
  </w:style>
  <w:style w:type="character" w:styleId="738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character" w:styleId="739" w:customStyle="1">
    <w:name w:val="Heading 3 Char"/>
    <w:basedOn w:val="734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Heading 4 Char"/>
    <w:basedOn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Heading 5 Char"/>
    <w:basedOn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Heading 6 Char"/>
    <w:basedOn w:val="734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Heading 7 Char"/>
    <w:basedOn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Heading 8 Char"/>
    <w:basedOn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Heading 9 Char"/>
    <w:basedOn w:val="734"/>
    <w:uiPriority w:val="9"/>
    <w:rPr>
      <w:rFonts w:ascii="Arial" w:hAnsi="Arial" w:eastAsia="Arial" w:cs="Arial"/>
      <w:i/>
      <w:iCs/>
      <w:sz w:val="21"/>
      <w:szCs w:val="21"/>
    </w:rPr>
  </w:style>
  <w:style w:type="character" w:styleId="746" w:customStyle="1">
    <w:name w:val="Title Char"/>
    <w:basedOn w:val="734"/>
    <w:uiPriority w:val="10"/>
    <w:rPr>
      <w:sz w:val="48"/>
      <w:szCs w:val="48"/>
    </w:rPr>
  </w:style>
  <w:style w:type="character" w:styleId="747" w:customStyle="1">
    <w:name w:val="Subtitle Char"/>
    <w:basedOn w:val="734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4"/>
    <w:uiPriority w:val="99"/>
  </w:style>
  <w:style w:type="character" w:styleId="751" w:customStyle="1">
    <w:name w:val="Caption Char"/>
    <w:uiPriority w:val="99"/>
  </w:style>
  <w:style w:type="character" w:styleId="752" w:customStyle="1">
    <w:name w:val="Footnote Text Char"/>
    <w:uiPriority w:val="99"/>
    <w:rPr>
      <w:sz w:val="18"/>
    </w:rPr>
  </w:style>
  <w:style w:type="character" w:styleId="753" w:customStyle="1">
    <w:name w:val="Endnote Text Char"/>
    <w:uiPriority w:val="99"/>
    <w:rPr>
      <w:sz w:val="20"/>
    </w:rPr>
  </w:style>
  <w:style w:type="character" w:styleId="754" w:customStyle="1">
    <w:name w:val="Заголовок 1 Знак1"/>
    <w:link w:val="725"/>
    <w:uiPriority w:val="9"/>
    <w:rPr>
      <w:rFonts w:ascii="Arial" w:hAnsi="Arial" w:eastAsia="Arial" w:cs="Arial"/>
      <w:sz w:val="40"/>
      <w:szCs w:val="40"/>
    </w:rPr>
  </w:style>
  <w:style w:type="character" w:styleId="755" w:customStyle="1">
    <w:name w:val="Заголовок 2 Знак1"/>
    <w:link w:val="726"/>
    <w:uiPriority w:val="9"/>
    <w:rPr>
      <w:rFonts w:ascii="Arial" w:hAnsi="Arial" w:eastAsia="Arial" w:cs="Arial"/>
      <w:sz w:val="34"/>
    </w:rPr>
  </w:style>
  <w:style w:type="character" w:styleId="756" w:customStyle="1">
    <w:name w:val="Заголовок 3 Знак"/>
    <w:link w:val="727"/>
    <w:uiPriority w:val="9"/>
    <w:rPr>
      <w:rFonts w:ascii="Arial" w:hAnsi="Arial" w:eastAsia="Arial" w:cs="Arial"/>
      <w:sz w:val="30"/>
      <w:szCs w:val="30"/>
    </w:rPr>
  </w:style>
  <w:style w:type="character" w:styleId="757" w:customStyle="1">
    <w:name w:val="Заголовок 4 Знак"/>
    <w:link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58" w:customStyle="1">
    <w:name w:val="Заголовок 5 Знак"/>
    <w:link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59" w:customStyle="1">
    <w:name w:val="Заголовок 6 Знак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60" w:customStyle="1">
    <w:name w:val="Заголовок 7 Знак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 w:customStyle="1">
    <w:name w:val="Заголовок 8 Знак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Заголовок 9 Знак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List Paragraph"/>
    <w:basedOn w:val="724"/>
    <w:qFormat/>
    <w:pPr>
      <w:contextualSpacing/>
      <w:ind w:left="720"/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764">
    <w:name w:val="No Spacing"/>
    <w:qFormat/>
    <w:rPr>
      <w:rFonts w:ascii="Calibri" w:hAnsi="Calibri" w:eastAsia="Times New Roman" w:cs="Times New Roman"/>
      <w:sz w:val="22"/>
      <w:szCs w:val="22"/>
      <w:lang w:val="ru-RU" w:bidi="ar-SA"/>
    </w:rPr>
  </w:style>
  <w:style w:type="paragraph" w:styleId="765">
    <w:name w:val="Title"/>
    <w:basedOn w:val="724"/>
    <w:next w:val="724"/>
    <w:link w:val="7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6" w:customStyle="1">
    <w:name w:val="Название Знак1"/>
    <w:link w:val="765"/>
    <w:uiPriority w:val="10"/>
    <w:rPr>
      <w:sz w:val="48"/>
      <w:szCs w:val="48"/>
    </w:rPr>
  </w:style>
  <w:style w:type="paragraph" w:styleId="767">
    <w:name w:val="Subtitle"/>
    <w:basedOn w:val="724"/>
    <w:next w:val="724"/>
    <w:link w:val="768"/>
    <w:uiPriority w:val="11"/>
    <w:qFormat/>
    <w:pPr>
      <w:spacing w:before="200" w:after="200"/>
    </w:pPr>
    <w:rPr>
      <w:sz w:val="24"/>
      <w:szCs w:val="24"/>
    </w:rPr>
  </w:style>
  <w:style w:type="character" w:styleId="768" w:customStyle="1">
    <w:name w:val="Подзаголовок Знак"/>
    <w:link w:val="767"/>
    <w:uiPriority w:val="11"/>
    <w:rPr>
      <w:sz w:val="24"/>
      <w:szCs w:val="24"/>
    </w:rPr>
  </w:style>
  <w:style w:type="paragraph" w:styleId="769">
    <w:name w:val="Quote"/>
    <w:basedOn w:val="724"/>
    <w:next w:val="724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24"/>
    <w:next w:val="724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>
    <w:name w:val="Header"/>
    <w:basedOn w:val="724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4" w:customStyle="1">
    <w:name w:val="Верхний колонтитул Знак"/>
    <w:link w:val="773"/>
    <w:uiPriority w:val="99"/>
  </w:style>
  <w:style w:type="paragraph" w:styleId="775">
    <w:name w:val="Footer"/>
    <w:basedOn w:val="724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uiPriority w:val="99"/>
  </w:style>
  <w:style w:type="character" w:styleId="777" w:customStyle="1">
    <w:name w:val="Нижний колонтитул Знак"/>
    <w:link w:val="775"/>
    <w:uiPriority w:val="99"/>
  </w:style>
  <w:style w:type="table" w:styleId="77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724"/>
    <w:link w:val="906"/>
    <w:uiPriority w:val="99"/>
    <w:semiHidden/>
    <w:unhideWhenUsed/>
    <w:pPr>
      <w:spacing w:after="40"/>
    </w:pPr>
    <w:rPr>
      <w:sz w:val="18"/>
    </w:r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endnote text"/>
    <w:basedOn w:val="724"/>
    <w:link w:val="909"/>
    <w:uiPriority w:val="99"/>
    <w:semiHidden/>
    <w:unhideWhenUsed/>
  </w:style>
  <w:style w:type="character" w:styleId="909" w:customStyle="1">
    <w:name w:val="Текст концевой сноски Знак"/>
    <w:link w:val="908"/>
    <w:uiPriority w:val="99"/>
    <w:rPr>
      <w:sz w:val="20"/>
    </w:rPr>
  </w:style>
  <w:style w:type="character" w:styleId="910">
    <w:name w:val="endnote reference"/>
    <w:uiPriority w:val="99"/>
    <w:semiHidden/>
    <w:unhideWhenUsed/>
    <w:rPr>
      <w:vertAlign w:val="superscript"/>
    </w:rPr>
  </w:style>
  <w:style w:type="paragraph" w:styleId="911">
    <w:name w:val="toc 1"/>
    <w:basedOn w:val="724"/>
    <w:next w:val="724"/>
    <w:uiPriority w:val="39"/>
    <w:unhideWhenUsed/>
    <w:pPr>
      <w:spacing w:after="57"/>
    </w:pPr>
  </w:style>
  <w:style w:type="paragraph" w:styleId="912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13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14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15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16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17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18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19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724"/>
    <w:next w:val="724"/>
    <w:uiPriority w:val="99"/>
    <w:unhideWhenUsed/>
  </w:style>
  <w:style w:type="character" w:styleId="922" w:customStyle="1">
    <w:name w:val="WW8Num1z0"/>
    <w:qFormat/>
  </w:style>
  <w:style w:type="character" w:styleId="923" w:customStyle="1">
    <w:name w:val="WW8Num1z1"/>
    <w:qFormat/>
  </w:style>
  <w:style w:type="character" w:styleId="924" w:customStyle="1">
    <w:name w:val="WW8Num1z2"/>
    <w:qFormat/>
  </w:style>
  <w:style w:type="character" w:styleId="925" w:customStyle="1">
    <w:name w:val="WW8Num1z3"/>
    <w:qFormat/>
  </w:style>
  <w:style w:type="character" w:styleId="926" w:customStyle="1">
    <w:name w:val="WW8Num1z4"/>
    <w:qFormat/>
  </w:style>
  <w:style w:type="character" w:styleId="927" w:customStyle="1">
    <w:name w:val="WW8Num1z5"/>
    <w:qFormat/>
  </w:style>
  <w:style w:type="character" w:styleId="928" w:customStyle="1">
    <w:name w:val="WW8Num1z6"/>
    <w:qFormat/>
  </w:style>
  <w:style w:type="character" w:styleId="929" w:customStyle="1">
    <w:name w:val="WW8Num1z7"/>
    <w:qFormat/>
  </w:style>
  <w:style w:type="character" w:styleId="930" w:customStyle="1">
    <w:name w:val="WW8Num1z8"/>
    <w:qFormat/>
  </w:style>
  <w:style w:type="character" w:styleId="931" w:customStyle="1">
    <w:name w:val="WW8Num2z0"/>
    <w:qFormat/>
    <w:rPr>
      <w:rFonts w:eastAsia="Times New Roman" w:cs="Times New Roman"/>
      <w:color w:val="000000"/>
    </w:rPr>
  </w:style>
  <w:style w:type="character" w:styleId="932" w:customStyle="1">
    <w:name w:val="WW8Num2z1"/>
    <w:qFormat/>
  </w:style>
  <w:style w:type="character" w:styleId="933" w:customStyle="1">
    <w:name w:val="WW8Num2z2"/>
    <w:qFormat/>
  </w:style>
  <w:style w:type="character" w:styleId="934" w:customStyle="1">
    <w:name w:val="WW8Num2z3"/>
    <w:qFormat/>
  </w:style>
  <w:style w:type="character" w:styleId="935" w:customStyle="1">
    <w:name w:val="WW8Num2z4"/>
    <w:qFormat/>
  </w:style>
  <w:style w:type="character" w:styleId="936" w:customStyle="1">
    <w:name w:val="WW8Num2z5"/>
    <w:qFormat/>
  </w:style>
  <w:style w:type="character" w:styleId="937" w:customStyle="1">
    <w:name w:val="WW8Num2z6"/>
    <w:qFormat/>
  </w:style>
  <w:style w:type="character" w:styleId="938" w:customStyle="1">
    <w:name w:val="WW8Num2z7"/>
    <w:qFormat/>
  </w:style>
  <w:style w:type="character" w:styleId="939" w:customStyle="1">
    <w:name w:val="WW8Num2z8"/>
    <w:qFormat/>
  </w:style>
  <w:style w:type="character" w:styleId="940" w:customStyle="1">
    <w:name w:val="WW8Num3z0"/>
    <w:qFormat/>
  </w:style>
  <w:style w:type="character" w:styleId="941" w:customStyle="1">
    <w:name w:val="WW8Num3z1"/>
    <w:qFormat/>
  </w:style>
  <w:style w:type="character" w:styleId="942" w:customStyle="1">
    <w:name w:val="WW8Num3z2"/>
    <w:qFormat/>
  </w:style>
  <w:style w:type="character" w:styleId="943" w:customStyle="1">
    <w:name w:val="WW8Num3z3"/>
    <w:qFormat/>
  </w:style>
  <w:style w:type="character" w:styleId="944" w:customStyle="1">
    <w:name w:val="WW8Num3z4"/>
    <w:qFormat/>
  </w:style>
  <w:style w:type="character" w:styleId="945" w:customStyle="1">
    <w:name w:val="WW8Num3z5"/>
    <w:qFormat/>
  </w:style>
  <w:style w:type="character" w:styleId="946" w:customStyle="1">
    <w:name w:val="WW8Num3z6"/>
    <w:qFormat/>
  </w:style>
  <w:style w:type="character" w:styleId="947" w:customStyle="1">
    <w:name w:val="WW8Num3z7"/>
    <w:qFormat/>
  </w:style>
  <w:style w:type="character" w:styleId="948" w:customStyle="1">
    <w:name w:val="WW8Num3z8"/>
    <w:qFormat/>
  </w:style>
  <w:style w:type="character" w:styleId="949" w:customStyle="1">
    <w:name w:val="WW8Num4z0"/>
    <w:qFormat/>
  </w:style>
  <w:style w:type="character" w:styleId="950" w:customStyle="1">
    <w:name w:val="WW8Num4z1"/>
    <w:qFormat/>
  </w:style>
  <w:style w:type="character" w:styleId="951" w:customStyle="1">
    <w:name w:val="WW8Num4z2"/>
    <w:qFormat/>
  </w:style>
  <w:style w:type="character" w:styleId="952" w:customStyle="1">
    <w:name w:val="WW8Num4z3"/>
    <w:qFormat/>
  </w:style>
  <w:style w:type="character" w:styleId="953" w:customStyle="1">
    <w:name w:val="WW8Num4z4"/>
    <w:qFormat/>
  </w:style>
  <w:style w:type="character" w:styleId="954" w:customStyle="1">
    <w:name w:val="WW8Num4z5"/>
    <w:qFormat/>
  </w:style>
  <w:style w:type="character" w:styleId="955" w:customStyle="1">
    <w:name w:val="WW8Num4z6"/>
    <w:qFormat/>
  </w:style>
  <w:style w:type="character" w:styleId="956" w:customStyle="1">
    <w:name w:val="WW8Num4z7"/>
    <w:qFormat/>
  </w:style>
  <w:style w:type="character" w:styleId="957" w:customStyle="1">
    <w:name w:val="WW8Num4z8"/>
    <w:qFormat/>
  </w:style>
  <w:style w:type="character" w:styleId="958" w:customStyle="1">
    <w:name w:val="WW8Num5z0"/>
    <w:qFormat/>
  </w:style>
  <w:style w:type="character" w:styleId="959" w:customStyle="1">
    <w:name w:val="WW8Num5z1"/>
    <w:qFormat/>
  </w:style>
  <w:style w:type="character" w:styleId="960" w:customStyle="1">
    <w:name w:val="WW8Num5z2"/>
    <w:qFormat/>
  </w:style>
  <w:style w:type="character" w:styleId="961" w:customStyle="1">
    <w:name w:val="WW8Num5z3"/>
    <w:qFormat/>
  </w:style>
  <w:style w:type="character" w:styleId="962" w:customStyle="1">
    <w:name w:val="WW8Num5z4"/>
    <w:qFormat/>
  </w:style>
  <w:style w:type="character" w:styleId="963" w:customStyle="1">
    <w:name w:val="WW8Num5z5"/>
    <w:qFormat/>
  </w:style>
  <w:style w:type="character" w:styleId="964" w:customStyle="1">
    <w:name w:val="WW8Num5z6"/>
    <w:qFormat/>
  </w:style>
  <w:style w:type="character" w:styleId="965" w:customStyle="1">
    <w:name w:val="WW8Num5z7"/>
    <w:qFormat/>
  </w:style>
  <w:style w:type="character" w:styleId="966" w:customStyle="1">
    <w:name w:val="WW8Num5z8"/>
    <w:qFormat/>
  </w:style>
  <w:style w:type="character" w:styleId="967" w:customStyle="1">
    <w:name w:val="WW8Num6z0"/>
    <w:qFormat/>
  </w:style>
  <w:style w:type="character" w:styleId="968" w:customStyle="1">
    <w:name w:val="WW8Num6z1"/>
    <w:qFormat/>
  </w:style>
  <w:style w:type="character" w:styleId="969" w:customStyle="1">
    <w:name w:val="WW8Num6z2"/>
    <w:qFormat/>
  </w:style>
  <w:style w:type="character" w:styleId="970" w:customStyle="1">
    <w:name w:val="WW8Num6z3"/>
    <w:qFormat/>
  </w:style>
  <w:style w:type="character" w:styleId="971" w:customStyle="1">
    <w:name w:val="WW8Num6z4"/>
    <w:qFormat/>
  </w:style>
  <w:style w:type="character" w:styleId="972" w:customStyle="1">
    <w:name w:val="WW8Num6z5"/>
    <w:qFormat/>
  </w:style>
  <w:style w:type="character" w:styleId="973" w:customStyle="1">
    <w:name w:val="WW8Num6z6"/>
    <w:qFormat/>
  </w:style>
  <w:style w:type="character" w:styleId="974" w:customStyle="1">
    <w:name w:val="WW8Num6z7"/>
    <w:qFormat/>
  </w:style>
  <w:style w:type="character" w:styleId="975" w:customStyle="1">
    <w:name w:val="WW8Num6z8"/>
    <w:qFormat/>
  </w:style>
  <w:style w:type="character" w:styleId="976" w:customStyle="1">
    <w:name w:val="WW8Num7z0"/>
    <w:qFormat/>
  </w:style>
  <w:style w:type="character" w:styleId="977" w:customStyle="1">
    <w:name w:val="WW8Num7z1"/>
    <w:qFormat/>
  </w:style>
  <w:style w:type="character" w:styleId="978" w:customStyle="1">
    <w:name w:val="WW8Num7z2"/>
    <w:qFormat/>
  </w:style>
  <w:style w:type="character" w:styleId="979" w:customStyle="1">
    <w:name w:val="WW8Num7z3"/>
    <w:qFormat/>
  </w:style>
  <w:style w:type="character" w:styleId="980" w:customStyle="1">
    <w:name w:val="WW8Num7z4"/>
    <w:qFormat/>
  </w:style>
  <w:style w:type="character" w:styleId="981" w:customStyle="1">
    <w:name w:val="WW8Num7z5"/>
    <w:qFormat/>
  </w:style>
  <w:style w:type="character" w:styleId="982" w:customStyle="1">
    <w:name w:val="WW8Num7z6"/>
    <w:qFormat/>
  </w:style>
  <w:style w:type="character" w:styleId="983" w:customStyle="1">
    <w:name w:val="WW8Num7z7"/>
    <w:qFormat/>
  </w:style>
  <w:style w:type="character" w:styleId="984" w:customStyle="1">
    <w:name w:val="WW8Num7z8"/>
    <w:qFormat/>
  </w:style>
  <w:style w:type="character" w:styleId="985" w:customStyle="1">
    <w:name w:val="WW8Num8z0"/>
    <w:qFormat/>
  </w:style>
  <w:style w:type="character" w:styleId="986" w:customStyle="1">
    <w:name w:val="WW8Num8z1"/>
    <w:qFormat/>
  </w:style>
  <w:style w:type="character" w:styleId="987" w:customStyle="1">
    <w:name w:val="WW8Num8z2"/>
    <w:qFormat/>
  </w:style>
  <w:style w:type="character" w:styleId="988" w:customStyle="1">
    <w:name w:val="WW8Num8z3"/>
    <w:qFormat/>
  </w:style>
  <w:style w:type="character" w:styleId="989" w:customStyle="1">
    <w:name w:val="WW8Num8z4"/>
    <w:qFormat/>
  </w:style>
  <w:style w:type="character" w:styleId="990" w:customStyle="1">
    <w:name w:val="WW8Num8z5"/>
    <w:qFormat/>
  </w:style>
  <w:style w:type="character" w:styleId="991" w:customStyle="1">
    <w:name w:val="WW8Num8z6"/>
    <w:qFormat/>
  </w:style>
  <w:style w:type="character" w:styleId="992" w:customStyle="1">
    <w:name w:val="WW8Num8z7"/>
    <w:qFormat/>
  </w:style>
  <w:style w:type="character" w:styleId="993" w:customStyle="1">
    <w:name w:val="WW8Num8z8"/>
    <w:qFormat/>
  </w:style>
  <w:style w:type="character" w:styleId="994" w:customStyle="1">
    <w:name w:val="WW8Num9z0"/>
    <w:qFormat/>
    <w:rPr>
      <w:rFonts w:ascii="Symbol" w:hAnsi="Symbol" w:cs="Symbol"/>
    </w:rPr>
  </w:style>
  <w:style w:type="character" w:styleId="995" w:customStyle="1">
    <w:name w:val="WW8Num9z1"/>
    <w:qFormat/>
    <w:rPr>
      <w:rFonts w:ascii="Courier New" w:hAnsi="Courier New" w:cs="Courier New"/>
    </w:rPr>
  </w:style>
  <w:style w:type="character" w:styleId="996" w:customStyle="1">
    <w:name w:val="WW8Num9z2"/>
    <w:qFormat/>
    <w:rPr>
      <w:rFonts w:ascii="Wingdings" w:hAnsi="Wingdings" w:cs="Wingdings"/>
    </w:rPr>
  </w:style>
  <w:style w:type="character" w:styleId="997" w:customStyle="1">
    <w:name w:val="apple-converted-space"/>
    <w:basedOn w:val="734"/>
    <w:qFormat/>
  </w:style>
  <w:style w:type="character" w:styleId="998" w:customStyle="1">
    <w:name w:val="apple-style-span"/>
    <w:basedOn w:val="734"/>
    <w:qFormat/>
  </w:style>
  <w:style w:type="character" w:styleId="999" w:customStyle="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1000" w:customStyle="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styleId="100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002" w:customStyle="1">
    <w:name w:val="Основной текст Знак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003" w:customStyle="1">
    <w:name w:val="Абзац списка Знак"/>
    <w:qFormat/>
    <w:rPr>
      <w:sz w:val="22"/>
      <w:szCs w:val="22"/>
    </w:rPr>
  </w:style>
  <w:style w:type="character" w:styleId="1004" w:customStyle="1">
    <w:name w:val="Название Знак"/>
    <w:qFormat/>
    <w:rPr>
      <w:rFonts w:ascii="Times New Roman" w:hAnsi="Times New Roman" w:eastAsia="Times New Roman" w:cs="Times New Roman"/>
      <w:sz w:val="28"/>
    </w:rPr>
  </w:style>
  <w:style w:type="character" w:styleId="1005" w:customStyle="1">
    <w:name w:val="Основной текст 2 Знак"/>
    <w:qFormat/>
    <w:rPr>
      <w:rFonts w:eastAsia="Times New Roman"/>
      <w:sz w:val="22"/>
      <w:szCs w:val="22"/>
    </w:rPr>
  </w:style>
  <w:style w:type="character" w:styleId="1006" w:customStyle="1">
    <w:name w:val="Internet Link"/>
    <w:rPr>
      <w:rFonts w:ascii="Times New Roman" w:hAnsi="Times New Roman" w:cs="Times New Roman"/>
      <w:color w:val="0000ff"/>
      <w:u w:val="single"/>
    </w:rPr>
  </w:style>
  <w:style w:type="paragraph" w:styleId="1007" w:customStyle="1">
    <w:name w:val="Heading"/>
    <w:basedOn w:val="724"/>
    <w:next w:val="1008"/>
    <w:qFormat/>
    <w:pPr>
      <w:jc w:val="center"/>
    </w:pPr>
    <w:rPr>
      <w:sz w:val="28"/>
      <w:lang w:val="en-US"/>
    </w:rPr>
  </w:style>
  <w:style w:type="paragraph" w:styleId="1008">
    <w:name w:val="Body Text"/>
    <w:basedOn w:val="724"/>
    <w:pPr>
      <w:spacing w:after="120"/>
    </w:pPr>
    <w:rPr>
      <w:sz w:val="24"/>
      <w:szCs w:val="24"/>
      <w:lang w:val="en-US"/>
    </w:rPr>
  </w:style>
  <w:style w:type="paragraph" w:styleId="1009">
    <w:name w:val="List"/>
    <w:basedOn w:val="1008"/>
  </w:style>
  <w:style w:type="paragraph" w:styleId="1010">
    <w:name w:val="Caption"/>
    <w:basedOn w:val="72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011" w:customStyle="1">
    <w:name w:val="Index"/>
    <w:basedOn w:val="724"/>
    <w:qFormat/>
    <w:pPr>
      <w:suppressLineNumbers/>
    </w:pPr>
  </w:style>
  <w:style w:type="paragraph" w:styleId="1012" w:customStyle="1">
    <w:name w:val="Знак"/>
    <w:basedOn w:val="724"/>
    <w:qFormat/>
    <w:rPr>
      <w:rFonts w:ascii="Verdana" w:hAnsi="Verdana" w:cs="Verdana"/>
      <w:lang w:val="en-US"/>
    </w:rPr>
  </w:style>
  <w:style w:type="paragraph" w:styleId="1013">
    <w:name w:val="Normal (Web)"/>
    <w:basedOn w:val="724"/>
    <w:qFormat/>
    <w:pPr>
      <w:spacing w:before="280" w:after="280"/>
    </w:pPr>
    <w:rPr>
      <w:sz w:val="24"/>
      <w:szCs w:val="24"/>
    </w:rPr>
  </w:style>
  <w:style w:type="paragraph" w:styleId="1014" w:customStyle="1">
    <w:name w:val="ConsPlusNonformat"/>
    <w:qFormat/>
    <w:pPr>
      <w:widowControl w:val="off"/>
    </w:pPr>
    <w:rPr>
      <w:rFonts w:ascii="Courier New" w:hAnsi="Courier New" w:eastAsia="Times New Roman" w:cs="Courier New"/>
      <w:sz w:val="20"/>
      <w:szCs w:val="20"/>
      <w:lang w:val="ru-RU" w:bidi="ar-SA"/>
    </w:rPr>
  </w:style>
  <w:style w:type="paragraph" w:styleId="1015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0"/>
      <w:szCs w:val="20"/>
      <w:lang w:val="ru-RU" w:bidi="ar-SA"/>
    </w:rPr>
  </w:style>
  <w:style w:type="paragraph" w:styleId="1016">
    <w:name w:val="Body Text 2"/>
    <w:basedOn w:val="724"/>
    <w:qFormat/>
    <w:pPr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1017" w:customStyle="1">
    <w:name w:val="Абзац списка1"/>
    <w:basedOn w:val="724"/>
    <w:qFormat/>
    <w:pPr>
      <w:contextualSpacing/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018" w:customStyle="1">
    <w:name w:val="Table Contents"/>
    <w:basedOn w:val="724"/>
    <w:qFormat/>
    <w:pPr>
      <w:suppressLineNumbers/>
    </w:pPr>
  </w:style>
  <w:style w:type="paragraph" w:styleId="1019" w:customStyle="1">
    <w:name w:val="Table Heading"/>
    <w:basedOn w:val="1018"/>
    <w:qFormat/>
    <w:pPr>
      <w:jc w:val="center"/>
    </w:pPr>
    <w:rPr>
      <w:b/>
      <w:bCs/>
    </w:rPr>
  </w:style>
  <w:style w:type="numbering" w:styleId="1020" w:customStyle="1">
    <w:name w:val="WW8Num1"/>
    <w:qFormat/>
  </w:style>
  <w:style w:type="numbering" w:styleId="1021" w:customStyle="1">
    <w:name w:val="WW8Num2"/>
    <w:qFormat/>
  </w:style>
  <w:style w:type="numbering" w:styleId="1022" w:customStyle="1">
    <w:name w:val="WW8Num3"/>
    <w:qFormat/>
  </w:style>
  <w:style w:type="numbering" w:styleId="1023" w:customStyle="1">
    <w:name w:val="WW8Num4"/>
    <w:qFormat/>
  </w:style>
  <w:style w:type="numbering" w:styleId="1024" w:customStyle="1">
    <w:name w:val="WW8Num5"/>
    <w:qFormat/>
  </w:style>
  <w:style w:type="numbering" w:styleId="1025" w:customStyle="1">
    <w:name w:val="WW8Num6"/>
    <w:qFormat/>
  </w:style>
  <w:style w:type="numbering" w:styleId="1026" w:customStyle="1">
    <w:name w:val="WW8Num7"/>
    <w:qFormat/>
  </w:style>
  <w:style w:type="numbering" w:styleId="1027" w:customStyle="1">
    <w:name w:val="WW8Num8"/>
    <w:qFormat/>
  </w:style>
  <w:style w:type="numbering" w:styleId="1028" w:customStyle="1">
    <w:name w:val="WW8Num9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72;&#1084;&#1091;&#1088;&#1089;&#1082;&#1086;&#1077;-&#1072;&#1076;&#1084;.&#1088;&#1092;/" TargetMode="External"/><Relationship Id="rId10" Type="http://schemas.openxmlformats.org/officeDocument/2006/relationships/hyperlink" Target="http://verh-uimon.ru/" TargetMode="External"/><Relationship Id="rId11" Type="http://schemas.openxmlformats.org/officeDocument/2006/relationships/hyperlink" Target="http://spgorbunovo.ru/" TargetMode="External"/><Relationship Id="rId12" Type="http://schemas.openxmlformats.org/officeDocument/2006/relationships/hyperlink" Target="https://xn--80aaallxcf0bop.xn--p1ai/" TargetMode="External"/><Relationship Id="rId13" Type="http://schemas.openxmlformats.org/officeDocument/2006/relationships/hyperlink" Target="http://admkatanda.ru/" TargetMode="External"/><Relationship Id="rId14" Type="http://schemas.openxmlformats.org/officeDocument/2006/relationships/hyperlink" Target="http://oghnievka.ru" TargetMode="External"/><Relationship Id="rId15" Type="http://schemas.openxmlformats.org/officeDocument/2006/relationships/hyperlink" Target="https://taldinskoe.ru/" TargetMode="External"/><Relationship Id="rId16" Type="http://schemas.openxmlformats.org/officeDocument/2006/relationships/hyperlink" Target="http://ustkoksa.ru/" TargetMode="External"/><Relationship Id="rId17" Type="http://schemas.openxmlformats.org/officeDocument/2006/relationships/hyperlink" Target="http://admchendek.ru/" TargetMode="External"/><Relationship Id="rId18" Type="http://schemas.openxmlformats.org/officeDocument/2006/relationships/hyperlink" Target="http://ust-koksa-alta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dc:language>en-US</dc:language>
  <cp:lastModifiedBy>Кононова Лариса</cp:lastModifiedBy>
  <cp:revision>40</cp:revision>
  <dcterms:created xsi:type="dcterms:W3CDTF">2024-04-08T04:17:00Z</dcterms:created>
  <dcterms:modified xsi:type="dcterms:W3CDTF">2024-04-27T06:57:39Z</dcterms:modified>
</cp:coreProperties>
</file>